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DE22A" w14:textId="6C2A6246" w:rsidR="000A66E7" w:rsidRPr="001E0648" w:rsidRDefault="00824879" w:rsidP="000A66E7">
      <w:pPr>
        <w:spacing w:after="0" w:line="240" w:lineRule="auto"/>
        <w:rPr>
          <w:rFonts w:ascii="Arial Narrow" w:hAnsi="Arial Narrow" w:cstheme="minorHAnsi"/>
          <w:i/>
          <w:iCs/>
          <w:sz w:val="16"/>
          <w:szCs w:val="16"/>
        </w:rPr>
      </w:pPr>
      <w:hyperlink r:id="rId8" w:history="1">
        <w:r w:rsidR="000A66E7" w:rsidRPr="001E0648">
          <w:rPr>
            <w:rStyle w:val="Hyperlink"/>
            <w:rFonts w:ascii="Arial Narrow" w:hAnsi="Arial Narrow" w:cstheme="minorHAnsi"/>
            <w:i/>
            <w:iCs/>
            <w:color w:val="auto"/>
            <w:sz w:val="16"/>
            <w:szCs w:val="16"/>
            <w:u w:val="none"/>
            <w:lang w:val="id-ID"/>
          </w:rPr>
          <w:t>http://doi.org/10.22373/jose.v4i2.2961</w:t>
        </w:r>
      </w:hyperlink>
      <w:r w:rsidR="000A66E7" w:rsidRPr="001E0648">
        <w:rPr>
          <w:rFonts w:ascii="Arial Narrow" w:hAnsi="Arial Narrow" w:cstheme="minorHAnsi"/>
          <w:i/>
          <w:iCs/>
          <w:sz w:val="16"/>
          <w:szCs w:val="16"/>
          <w:lang w:val="id-ID"/>
        </w:rPr>
        <w:t xml:space="preserve">   </w:t>
      </w:r>
    </w:p>
    <w:p w14:paraId="19EA62EA" w14:textId="6B4048B8" w:rsidR="000A66E7" w:rsidRPr="001E0648" w:rsidRDefault="000A66E7" w:rsidP="002A45F0">
      <w:pPr>
        <w:spacing w:after="0" w:line="240" w:lineRule="auto"/>
        <w:rPr>
          <w:rFonts w:ascii="Arial Narrow" w:hAnsi="Arial Narrow" w:cstheme="minorHAnsi"/>
          <w:i/>
          <w:iCs/>
          <w:sz w:val="16"/>
          <w:szCs w:val="16"/>
          <w:lang w:val="id-ID"/>
        </w:rPr>
      </w:pPr>
      <w:r w:rsidRPr="001E0648">
        <w:rPr>
          <w:rFonts w:ascii="Arial Narrow" w:hAnsi="Arial Narrow" w:cstheme="minorHAnsi"/>
          <w:i/>
          <w:iCs/>
          <w:sz w:val="16"/>
          <w:szCs w:val="16"/>
        </w:rPr>
        <w:t>Received:</w:t>
      </w:r>
      <w:r w:rsidR="002A45F0" w:rsidRPr="001E0648">
        <w:rPr>
          <w:rFonts w:ascii="Arial Narrow" w:hAnsi="Arial Narrow" w:cstheme="minorHAnsi"/>
          <w:i/>
          <w:iCs/>
          <w:sz w:val="16"/>
          <w:szCs w:val="16"/>
          <w:lang w:val="id-ID"/>
        </w:rPr>
        <w:t xml:space="preserve"> 8</w:t>
      </w:r>
      <w:r w:rsidRPr="001E0648">
        <w:rPr>
          <w:rFonts w:ascii="Arial Narrow" w:hAnsi="Arial Narrow" w:cstheme="minorHAnsi"/>
          <w:i/>
          <w:iCs/>
          <w:sz w:val="16"/>
          <w:szCs w:val="16"/>
          <w:lang w:val="id-ID"/>
        </w:rPr>
        <w:t xml:space="preserve"> Juli 2023</w:t>
      </w:r>
      <w:r w:rsidRPr="001E0648">
        <w:rPr>
          <w:rFonts w:ascii="Arial Narrow" w:hAnsi="Arial Narrow" w:cstheme="minorHAnsi"/>
          <w:i/>
          <w:iCs/>
          <w:sz w:val="16"/>
          <w:szCs w:val="16"/>
        </w:rPr>
        <w:t>, Revision:</w:t>
      </w:r>
      <w:r w:rsidRPr="001E0648">
        <w:rPr>
          <w:rFonts w:ascii="Arial Narrow" w:hAnsi="Arial Narrow" w:cstheme="minorHAnsi"/>
          <w:i/>
          <w:iCs/>
          <w:sz w:val="16"/>
          <w:szCs w:val="16"/>
          <w:lang w:val="id-ID"/>
        </w:rPr>
        <w:t xml:space="preserve"> </w:t>
      </w:r>
      <w:r w:rsidR="002A45F0" w:rsidRPr="001E0648">
        <w:rPr>
          <w:rFonts w:ascii="Arial Narrow" w:hAnsi="Arial Narrow" w:cstheme="minorHAnsi"/>
          <w:i/>
          <w:iCs/>
          <w:sz w:val="16"/>
          <w:szCs w:val="16"/>
          <w:lang w:val="id-ID"/>
        </w:rPr>
        <w:t>2</w:t>
      </w:r>
      <w:r w:rsidRPr="001E0648">
        <w:rPr>
          <w:rFonts w:ascii="Arial Narrow" w:hAnsi="Arial Narrow" w:cstheme="minorHAnsi"/>
          <w:i/>
          <w:iCs/>
          <w:sz w:val="16"/>
          <w:szCs w:val="16"/>
          <w:lang w:val="id-ID"/>
        </w:rPr>
        <w:t xml:space="preserve">3 </w:t>
      </w:r>
      <w:r w:rsidR="002A45F0" w:rsidRPr="001E0648">
        <w:rPr>
          <w:rFonts w:ascii="Arial Narrow" w:hAnsi="Arial Narrow" w:cstheme="minorHAnsi"/>
          <w:i/>
          <w:iCs/>
          <w:sz w:val="16"/>
          <w:szCs w:val="16"/>
          <w:lang w:val="id-ID"/>
        </w:rPr>
        <w:t>September</w:t>
      </w:r>
      <w:r w:rsidRPr="001E0648">
        <w:rPr>
          <w:rFonts w:ascii="Arial Narrow" w:hAnsi="Arial Narrow" w:cstheme="minorHAnsi"/>
          <w:i/>
          <w:iCs/>
          <w:sz w:val="16"/>
          <w:szCs w:val="16"/>
          <w:lang w:val="id-ID"/>
        </w:rPr>
        <w:t xml:space="preserve"> 2023</w:t>
      </w:r>
      <w:r w:rsidRPr="001E0648">
        <w:rPr>
          <w:rFonts w:ascii="Arial Narrow" w:hAnsi="Arial Narrow" w:cstheme="minorHAnsi"/>
          <w:i/>
          <w:iCs/>
          <w:sz w:val="16"/>
          <w:szCs w:val="16"/>
        </w:rPr>
        <w:t>, Accepted:</w:t>
      </w:r>
      <w:r w:rsidRPr="001E0648">
        <w:rPr>
          <w:rFonts w:ascii="Arial Narrow" w:hAnsi="Arial Narrow" w:cstheme="minorHAnsi"/>
          <w:i/>
          <w:iCs/>
          <w:sz w:val="16"/>
          <w:szCs w:val="16"/>
          <w:lang w:val="id-ID"/>
        </w:rPr>
        <w:t xml:space="preserve"> 23 September 2023.</w:t>
      </w:r>
    </w:p>
    <w:p w14:paraId="4FE17603" w14:textId="77777777" w:rsidR="000A66E7" w:rsidRPr="001E0648" w:rsidRDefault="000A66E7" w:rsidP="000A66E7">
      <w:pPr>
        <w:tabs>
          <w:tab w:val="left" w:pos="5325"/>
        </w:tabs>
        <w:spacing w:after="0" w:line="240" w:lineRule="auto"/>
        <w:rPr>
          <w:rFonts w:ascii="Arial Narrow" w:hAnsi="Arial Narrow" w:cstheme="minorHAnsi"/>
          <w:i/>
          <w:iCs/>
          <w:sz w:val="16"/>
          <w:szCs w:val="16"/>
          <w:lang w:val="id-ID"/>
        </w:rPr>
      </w:pPr>
      <w:r w:rsidRPr="001E0648">
        <w:rPr>
          <w:rFonts w:ascii="Arial Narrow" w:hAnsi="Arial Narrow" w:cstheme="minorHAnsi"/>
          <w:i/>
          <w:iCs/>
          <w:sz w:val="16"/>
          <w:szCs w:val="16"/>
          <w:lang w:val="id-ID"/>
        </w:rPr>
        <w:t>E-</w:t>
      </w:r>
      <w:r w:rsidRPr="001E0648">
        <w:rPr>
          <w:rFonts w:ascii="Arial Narrow" w:hAnsi="Arial Narrow" w:cstheme="minorHAnsi"/>
          <w:i/>
          <w:iCs/>
          <w:sz w:val="16"/>
          <w:szCs w:val="16"/>
        </w:rPr>
        <w:t>ISSN:</w:t>
      </w:r>
      <w:r w:rsidRPr="001E0648">
        <w:rPr>
          <w:rFonts w:ascii="Arial Narrow" w:hAnsi="Arial Narrow" w:cstheme="minorHAnsi"/>
          <w:i/>
          <w:iCs/>
          <w:sz w:val="16"/>
          <w:szCs w:val="16"/>
          <w:lang w:val="id-ID"/>
        </w:rPr>
        <w:t xml:space="preserve"> 2774-3543</w:t>
      </w:r>
      <w:r w:rsidRPr="001E0648">
        <w:rPr>
          <w:rFonts w:ascii="Arial Narrow" w:hAnsi="Arial Narrow" w:cstheme="minorHAnsi"/>
          <w:i/>
          <w:iCs/>
          <w:sz w:val="16"/>
          <w:szCs w:val="16"/>
        </w:rPr>
        <w:t xml:space="preserve">; </w:t>
      </w:r>
      <w:r w:rsidRPr="001E0648">
        <w:rPr>
          <w:rFonts w:ascii="Arial Narrow" w:hAnsi="Arial Narrow" w:cstheme="minorHAnsi"/>
          <w:i/>
          <w:iCs/>
          <w:sz w:val="16"/>
          <w:szCs w:val="16"/>
          <w:lang w:val="id-ID"/>
        </w:rPr>
        <w:t>P-</w:t>
      </w:r>
      <w:r w:rsidRPr="001E0648">
        <w:rPr>
          <w:rFonts w:ascii="Arial Narrow" w:hAnsi="Arial Narrow" w:cstheme="minorHAnsi"/>
          <w:i/>
          <w:iCs/>
          <w:sz w:val="16"/>
          <w:szCs w:val="16"/>
        </w:rPr>
        <w:t>ISSN:</w:t>
      </w:r>
      <w:r w:rsidRPr="001E0648">
        <w:rPr>
          <w:rFonts w:ascii="Arial Narrow" w:hAnsi="Arial Narrow" w:cstheme="minorHAnsi"/>
          <w:i/>
          <w:iCs/>
          <w:sz w:val="16"/>
          <w:szCs w:val="16"/>
          <w:lang w:val="id-ID"/>
        </w:rPr>
        <w:t xml:space="preserve"> 2774-3551,</w:t>
      </w:r>
      <w:r w:rsidRPr="001E0648">
        <w:rPr>
          <w:rFonts w:ascii="Arial Narrow" w:hAnsi="Arial Narrow" w:cstheme="minorHAnsi"/>
          <w:i/>
          <w:iCs/>
          <w:sz w:val="16"/>
          <w:szCs w:val="16"/>
          <w:lang w:val="id-ID"/>
        </w:rPr>
        <w:tab/>
      </w:r>
    </w:p>
    <w:p w14:paraId="1779241D" w14:textId="77777777" w:rsidR="000A66E7" w:rsidRPr="001E0648" w:rsidRDefault="000A66E7" w:rsidP="000A66E7">
      <w:pPr>
        <w:spacing w:after="0" w:line="240" w:lineRule="auto"/>
        <w:rPr>
          <w:rFonts w:ascii="Arial Narrow" w:hAnsi="Arial Narrow" w:cstheme="minorHAnsi"/>
          <w:i/>
          <w:iCs/>
          <w:sz w:val="16"/>
          <w:szCs w:val="16"/>
          <w:lang w:val="id-ID"/>
        </w:rPr>
      </w:pPr>
      <w:r w:rsidRPr="001E0648">
        <w:rPr>
          <w:rFonts w:ascii="Arial Narrow" w:hAnsi="Arial Narrow" w:cstheme="minorHAnsi"/>
          <w:i/>
          <w:iCs/>
          <w:sz w:val="16"/>
          <w:szCs w:val="16"/>
        </w:rPr>
        <w:t>Copyright @2023. Published by Program Studi E</w:t>
      </w:r>
      <w:r w:rsidRPr="001E0648">
        <w:rPr>
          <w:rFonts w:ascii="Arial Narrow" w:hAnsi="Arial Narrow" w:cstheme="minorHAnsi"/>
          <w:i/>
          <w:iCs/>
          <w:sz w:val="16"/>
          <w:szCs w:val="16"/>
          <w:lang w:val="id-ID"/>
        </w:rPr>
        <w:t>k</w:t>
      </w:r>
      <w:r w:rsidRPr="001E0648">
        <w:rPr>
          <w:rFonts w:ascii="Arial Narrow" w:hAnsi="Arial Narrow" w:cstheme="minorHAnsi"/>
          <w:i/>
          <w:iCs/>
          <w:sz w:val="16"/>
          <w:szCs w:val="16"/>
        </w:rPr>
        <w:t xml:space="preserve">onomi </w:t>
      </w:r>
      <w:r w:rsidRPr="001E0648">
        <w:rPr>
          <w:rFonts w:ascii="Arial Narrow" w:hAnsi="Arial Narrow" w:cstheme="minorHAnsi"/>
          <w:i/>
          <w:iCs/>
          <w:sz w:val="16"/>
          <w:szCs w:val="16"/>
          <w:lang w:val="id-ID"/>
        </w:rPr>
        <w:t>Syariah Pascasarjana UIN Ar-Raniry</w:t>
      </w:r>
    </w:p>
    <w:p w14:paraId="45D4B385" w14:textId="333353B1" w:rsidR="00E00861" w:rsidRPr="007B7F57" w:rsidRDefault="00E00861" w:rsidP="000A66E7">
      <w:pPr>
        <w:spacing w:after="0"/>
      </w:pPr>
    </w:p>
    <w:p w14:paraId="0DEE2095" w14:textId="7C9C2C8B" w:rsidR="00B62167" w:rsidRPr="005624A4" w:rsidRDefault="003618CA" w:rsidP="003618CA">
      <w:pPr>
        <w:spacing w:after="0" w:line="240" w:lineRule="auto"/>
        <w:jc w:val="center"/>
        <w:rPr>
          <w:rFonts w:asciiTheme="majorHAnsi" w:hAnsiTheme="majorHAnsi" w:cs="Calibri"/>
          <w:b/>
          <w:sz w:val="28"/>
          <w:szCs w:val="28"/>
        </w:rPr>
      </w:pPr>
      <w:r w:rsidRPr="003618CA">
        <w:rPr>
          <w:rFonts w:asciiTheme="majorHAnsi" w:hAnsiTheme="majorHAnsi" w:cs="Calibri"/>
          <w:b/>
          <w:bCs/>
          <w:sz w:val="28"/>
          <w:szCs w:val="28"/>
        </w:rPr>
        <w:t>THE PROFITABILITY EFFICIENCY OF BANK SYARIAH</w:t>
      </w:r>
      <w:r w:rsidRPr="003618CA">
        <w:rPr>
          <w:rFonts w:asciiTheme="majorHAnsi" w:hAnsiTheme="majorHAnsi" w:cs="Calibri"/>
          <w:b/>
          <w:bCs/>
          <w:sz w:val="28"/>
          <w:szCs w:val="28"/>
          <w:lang w:val="id-ID"/>
        </w:rPr>
        <w:t xml:space="preserve"> </w:t>
      </w:r>
      <w:r w:rsidRPr="003618CA">
        <w:rPr>
          <w:rFonts w:asciiTheme="majorHAnsi" w:hAnsiTheme="majorHAnsi" w:cs="Calibri"/>
          <w:b/>
          <w:bCs/>
          <w:sz w:val="28"/>
          <w:szCs w:val="28"/>
        </w:rPr>
        <w:t>INDONESIA: AN APPLICATION OF DATA ENVELOPMENT</w:t>
      </w:r>
      <w:r w:rsidRPr="003618CA">
        <w:rPr>
          <w:rFonts w:asciiTheme="majorHAnsi" w:hAnsiTheme="majorHAnsi" w:cs="Calibri"/>
          <w:b/>
          <w:bCs/>
          <w:sz w:val="28"/>
          <w:szCs w:val="28"/>
          <w:lang w:val="id-ID"/>
        </w:rPr>
        <w:t xml:space="preserve"> </w:t>
      </w:r>
      <w:r w:rsidRPr="003618CA">
        <w:rPr>
          <w:rFonts w:asciiTheme="majorHAnsi" w:hAnsiTheme="majorHAnsi" w:cs="Calibri"/>
          <w:b/>
          <w:bCs/>
          <w:sz w:val="28"/>
          <w:szCs w:val="28"/>
        </w:rPr>
        <w:t>ANALYSIS AND HAHSLM MODEL APPROACH</w:t>
      </w:r>
    </w:p>
    <w:p w14:paraId="4A900328" w14:textId="77777777" w:rsidR="00B62167" w:rsidRPr="005624A4" w:rsidRDefault="00B62167" w:rsidP="00B62167">
      <w:pPr>
        <w:spacing w:after="0" w:line="240" w:lineRule="auto"/>
        <w:jc w:val="center"/>
        <w:rPr>
          <w:b/>
          <w:sz w:val="20"/>
          <w:szCs w:val="20"/>
        </w:rPr>
      </w:pPr>
    </w:p>
    <w:p w14:paraId="7976DBA2" w14:textId="6A5065D0" w:rsidR="00B62167" w:rsidRPr="005624A4" w:rsidRDefault="000A66E7" w:rsidP="00884606">
      <w:pPr>
        <w:spacing w:after="0" w:line="240" w:lineRule="auto"/>
        <w:jc w:val="center"/>
        <w:rPr>
          <w:rFonts w:ascii="Calibri" w:hAnsi="Calibri" w:cs="Calibri"/>
          <w:b/>
          <w:bCs/>
          <w:sz w:val="20"/>
          <w:szCs w:val="20"/>
        </w:rPr>
      </w:pPr>
      <w:r w:rsidRPr="000A66E7">
        <w:rPr>
          <w:rFonts w:ascii="Calibri" w:hAnsi="Calibri" w:cs="Calibri"/>
          <w:b/>
          <w:bCs/>
          <w:sz w:val="20"/>
          <w:szCs w:val="20"/>
        </w:rPr>
        <w:t>Roikhan Mochamad Aziz</w:t>
      </w:r>
      <w:r w:rsidR="00353B99" w:rsidRPr="00353B99">
        <w:rPr>
          <w:rFonts w:ascii="Calibri" w:hAnsi="Calibri" w:cs="Calibri"/>
          <w:b/>
          <w:bCs/>
          <w:sz w:val="20"/>
          <w:szCs w:val="20"/>
          <w:vertAlign w:val="superscript"/>
        </w:rPr>
        <w:t>1</w:t>
      </w:r>
    </w:p>
    <w:p w14:paraId="624730B4" w14:textId="7B5B2FE7" w:rsidR="00353B99" w:rsidRPr="00AD665F" w:rsidRDefault="00AD665F" w:rsidP="00AD665F">
      <w:pPr>
        <w:spacing w:after="0" w:line="240" w:lineRule="auto"/>
        <w:jc w:val="center"/>
        <w:rPr>
          <w:rFonts w:ascii="Calibri" w:hAnsi="Calibri" w:cs="Calibri"/>
          <w:sz w:val="20"/>
          <w:szCs w:val="20"/>
          <w:lang w:val="id-ID"/>
        </w:rPr>
      </w:pPr>
      <w:bookmarkStart w:id="0" w:name="_Hlk146969043"/>
      <w:r w:rsidRPr="00AD665F">
        <w:rPr>
          <w:rFonts w:ascii="Calibri" w:hAnsi="Calibri" w:cs="Calibri"/>
          <w:sz w:val="20"/>
          <w:szCs w:val="20"/>
          <w:lang w:val="id-ID"/>
        </w:rPr>
        <w:t>Universitas Islam Negeri Syarif Hidayatullah</w:t>
      </w:r>
      <w:r w:rsidR="00353B99" w:rsidRPr="00353B99">
        <w:rPr>
          <w:rFonts w:ascii="Calibri" w:hAnsi="Calibri" w:cs="Calibri"/>
          <w:sz w:val="20"/>
          <w:szCs w:val="20"/>
        </w:rPr>
        <w:t xml:space="preserve">, </w:t>
      </w:r>
      <w:bookmarkEnd w:id="0"/>
      <w:r>
        <w:rPr>
          <w:rFonts w:ascii="Calibri" w:hAnsi="Calibri" w:cs="Calibri"/>
          <w:sz w:val="20"/>
          <w:szCs w:val="20"/>
          <w:lang w:val="id-ID"/>
        </w:rPr>
        <w:t>Jakarta</w:t>
      </w:r>
    </w:p>
    <w:p w14:paraId="6C970CAE" w14:textId="1EEEE6CB" w:rsidR="00884606" w:rsidRPr="00353B99" w:rsidRDefault="00884606" w:rsidP="00353B99">
      <w:pPr>
        <w:spacing w:after="0" w:line="240" w:lineRule="auto"/>
        <w:jc w:val="center"/>
        <w:rPr>
          <w:rFonts w:ascii="Calibri" w:hAnsi="Calibri" w:cs="Calibri"/>
          <w:sz w:val="20"/>
          <w:szCs w:val="20"/>
          <w:vertAlign w:val="superscript"/>
        </w:rPr>
      </w:pPr>
      <w:r w:rsidRPr="000A66E7">
        <w:rPr>
          <w:rFonts w:ascii="Calibri" w:hAnsi="Calibri" w:cs="Calibri"/>
          <w:b/>
          <w:bCs/>
          <w:sz w:val="20"/>
          <w:szCs w:val="20"/>
        </w:rPr>
        <w:t>Ahmad Rodoni</w:t>
      </w:r>
      <w:r w:rsidRPr="00353B99">
        <w:rPr>
          <w:rFonts w:ascii="Calibri" w:hAnsi="Calibri" w:cs="Calibri"/>
          <w:b/>
          <w:bCs/>
          <w:sz w:val="20"/>
          <w:szCs w:val="20"/>
          <w:vertAlign w:val="superscript"/>
        </w:rPr>
        <w:t>2</w:t>
      </w:r>
    </w:p>
    <w:p w14:paraId="6024664B" w14:textId="4AD98431" w:rsidR="00353B99" w:rsidRDefault="00AD665F" w:rsidP="00AD665F">
      <w:pPr>
        <w:spacing w:after="0" w:line="240" w:lineRule="auto"/>
        <w:jc w:val="center"/>
        <w:rPr>
          <w:rFonts w:ascii="Calibri" w:hAnsi="Calibri" w:cs="Calibri"/>
          <w:sz w:val="20"/>
          <w:szCs w:val="20"/>
          <w:vertAlign w:val="superscript"/>
          <w:lang w:val="id-ID"/>
        </w:rPr>
      </w:pPr>
      <w:r w:rsidRPr="00AD665F">
        <w:rPr>
          <w:rFonts w:ascii="Calibri" w:hAnsi="Calibri" w:cs="Calibri"/>
          <w:sz w:val="20"/>
          <w:szCs w:val="20"/>
          <w:lang w:val="id-ID"/>
        </w:rPr>
        <w:t>Universitas Islam Negeri Syarif Hidayatullah</w:t>
      </w:r>
      <w:r w:rsidR="00353B99" w:rsidRPr="00353B99">
        <w:rPr>
          <w:rFonts w:ascii="Calibri" w:hAnsi="Calibri" w:cs="Calibri"/>
          <w:sz w:val="20"/>
          <w:szCs w:val="20"/>
        </w:rPr>
        <w:t xml:space="preserve">, </w:t>
      </w:r>
      <w:r>
        <w:rPr>
          <w:rFonts w:ascii="Calibri" w:hAnsi="Calibri" w:cs="Calibri"/>
          <w:sz w:val="20"/>
          <w:szCs w:val="20"/>
          <w:lang w:val="id-ID"/>
        </w:rPr>
        <w:t>Jakarta</w:t>
      </w:r>
    </w:p>
    <w:p w14:paraId="1D449112" w14:textId="053009A6" w:rsidR="00884606" w:rsidRPr="00353B99" w:rsidRDefault="00884606" w:rsidP="00353B99">
      <w:pPr>
        <w:spacing w:after="0" w:line="240" w:lineRule="auto"/>
        <w:jc w:val="center"/>
        <w:rPr>
          <w:rFonts w:ascii="Calibri" w:hAnsi="Calibri" w:cs="Calibri"/>
          <w:sz w:val="20"/>
          <w:szCs w:val="20"/>
          <w:vertAlign w:val="superscript"/>
          <w:lang w:val="id-ID"/>
        </w:rPr>
      </w:pPr>
      <w:r w:rsidRPr="000A66E7">
        <w:rPr>
          <w:rFonts w:ascii="Calibri" w:hAnsi="Calibri" w:cs="Calibri"/>
          <w:b/>
          <w:bCs/>
          <w:sz w:val="20"/>
          <w:szCs w:val="20"/>
        </w:rPr>
        <w:t>Farid Fathony Ashal</w:t>
      </w:r>
      <w:r w:rsidRPr="00353B99">
        <w:rPr>
          <w:rFonts w:ascii="Calibri" w:hAnsi="Calibri" w:cs="Calibri"/>
          <w:b/>
          <w:bCs/>
          <w:sz w:val="20"/>
          <w:szCs w:val="20"/>
          <w:vertAlign w:val="superscript"/>
        </w:rPr>
        <w:t>3</w:t>
      </w:r>
    </w:p>
    <w:p w14:paraId="47FD6208" w14:textId="47E6D749" w:rsidR="008862D7" w:rsidRDefault="00AD665F" w:rsidP="00AD665F">
      <w:pPr>
        <w:spacing w:after="0" w:line="240" w:lineRule="auto"/>
        <w:jc w:val="center"/>
        <w:rPr>
          <w:rFonts w:ascii="Calibri" w:hAnsi="Calibri" w:cs="Calibri"/>
          <w:sz w:val="20"/>
          <w:szCs w:val="20"/>
        </w:rPr>
      </w:pPr>
      <w:r w:rsidRPr="00AD665F">
        <w:rPr>
          <w:rFonts w:ascii="Calibri" w:hAnsi="Calibri" w:cs="Calibri"/>
          <w:sz w:val="20"/>
          <w:szCs w:val="20"/>
          <w:lang w:val="id-ID"/>
        </w:rPr>
        <w:t>Universitas Islam Negeri Syarif Hidayatullah</w:t>
      </w:r>
      <w:r w:rsidR="00353B99" w:rsidRPr="00353B99">
        <w:rPr>
          <w:rFonts w:ascii="Calibri" w:hAnsi="Calibri" w:cs="Calibri"/>
          <w:sz w:val="20"/>
          <w:szCs w:val="20"/>
        </w:rPr>
        <w:t xml:space="preserve">, </w:t>
      </w:r>
      <w:r>
        <w:rPr>
          <w:rFonts w:ascii="Calibri" w:hAnsi="Calibri" w:cs="Calibri"/>
          <w:sz w:val="20"/>
          <w:szCs w:val="20"/>
          <w:lang w:val="id-ID"/>
        </w:rPr>
        <w:t>Jakarta</w:t>
      </w:r>
    </w:p>
    <w:p w14:paraId="49935FF1" w14:textId="77777777" w:rsidR="005624A4" w:rsidRPr="005624A4" w:rsidRDefault="005624A4" w:rsidP="005624A4">
      <w:pPr>
        <w:spacing w:after="0" w:line="240" w:lineRule="auto"/>
        <w:jc w:val="center"/>
        <w:rPr>
          <w:rFonts w:ascii="Calibri" w:hAnsi="Calibri" w:cs="Calibri"/>
          <w:sz w:val="20"/>
          <w:szCs w:val="20"/>
        </w:rPr>
      </w:pPr>
    </w:p>
    <w:p w14:paraId="3D151F81" w14:textId="5EAB1040" w:rsidR="008862D7" w:rsidRPr="006F68FB" w:rsidRDefault="00B62167" w:rsidP="00AD665F">
      <w:pPr>
        <w:ind w:left="288" w:right="230"/>
        <w:jc w:val="center"/>
        <w:rPr>
          <w:rFonts w:ascii="Calibri" w:hAnsi="Calibri" w:cs="Calibri"/>
          <w:sz w:val="18"/>
          <w:szCs w:val="18"/>
          <w:lang w:val="id-ID"/>
        </w:rPr>
      </w:pPr>
      <w:r w:rsidRPr="006F68FB">
        <w:rPr>
          <w:rFonts w:ascii="Calibri" w:hAnsi="Calibri" w:cs="Calibri"/>
          <w:sz w:val="16"/>
          <w:szCs w:val="16"/>
        </w:rPr>
        <w:t xml:space="preserve">E-mail: </w:t>
      </w:r>
      <w:r w:rsidR="00AD665F" w:rsidRPr="006F68FB">
        <w:rPr>
          <w:rFonts w:ascii="Calibri" w:hAnsi="Calibri" w:cs="Calibri"/>
          <w:b/>
          <w:bCs/>
          <w:sz w:val="16"/>
          <w:szCs w:val="16"/>
          <w:vertAlign w:val="superscript"/>
        </w:rPr>
        <w:t>1</w:t>
      </w:r>
      <w:hyperlink r:id="rId9" w:history="1">
        <w:r w:rsidR="00AD665F" w:rsidRPr="006F68FB">
          <w:rPr>
            <w:rStyle w:val="Hyperlink"/>
            <w:rFonts w:ascii="Calibri" w:hAnsi="Calibri" w:cs="Calibri"/>
            <w:iCs/>
            <w:color w:val="auto"/>
            <w:sz w:val="16"/>
            <w:szCs w:val="16"/>
            <w:u w:val="none"/>
            <w:lang w:val="id-ID"/>
          </w:rPr>
          <w:t>roikhanma.uinjkts@gmail.com</w:t>
        </w:r>
      </w:hyperlink>
      <w:r w:rsidR="00AD665F" w:rsidRPr="006F68FB">
        <w:rPr>
          <w:rFonts w:ascii="Calibri" w:hAnsi="Calibri" w:cs="Calibri"/>
          <w:iCs/>
          <w:sz w:val="16"/>
          <w:szCs w:val="16"/>
          <w:lang w:val="id-ID"/>
        </w:rPr>
        <w:t xml:space="preserve">, </w:t>
      </w:r>
      <w:r w:rsidR="00AD665F" w:rsidRPr="006F68FB">
        <w:rPr>
          <w:rFonts w:ascii="Calibri" w:hAnsi="Calibri" w:cs="Calibri"/>
          <w:b/>
          <w:bCs/>
          <w:iCs/>
          <w:sz w:val="16"/>
          <w:szCs w:val="16"/>
          <w:vertAlign w:val="superscript"/>
        </w:rPr>
        <w:t>2</w:t>
      </w:r>
      <w:hyperlink r:id="rId10" w:history="1">
        <w:r w:rsidR="00AD665F" w:rsidRPr="006F68FB">
          <w:rPr>
            <w:rStyle w:val="Hyperlink"/>
            <w:rFonts w:ascii="Calibri" w:hAnsi="Calibri" w:cs="Calibri"/>
            <w:iCs/>
            <w:color w:val="auto"/>
            <w:sz w:val="16"/>
            <w:szCs w:val="16"/>
            <w:u w:val="none"/>
            <w:lang w:val="id-ID"/>
          </w:rPr>
          <w:t>ahmad.rodoni@uinjkt.ac.id</w:t>
        </w:r>
      </w:hyperlink>
      <w:r w:rsidR="00AD665F" w:rsidRPr="006F68FB">
        <w:rPr>
          <w:rFonts w:ascii="Calibri" w:hAnsi="Calibri" w:cs="Calibri"/>
          <w:iCs/>
          <w:sz w:val="16"/>
          <w:szCs w:val="16"/>
          <w:lang w:val="id-ID"/>
        </w:rPr>
        <w:t xml:space="preserve">, </w:t>
      </w:r>
      <w:r w:rsidR="00AD665F" w:rsidRPr="006F68FB">
        <w:rPr>
          <w:rFonts w:ascii="Calibri" w:hAnsi="Calibri" w:cs="Calibri"/>
          <w:b/>
          <w:bCs/>
          <w:iCs/>
          <w:sz w:val="16"/>
          <w:szCs w:val="16"/>
          <w:vertAlign w:val="superscript"/>
        </w:rPr>
        <w:t>3</w:t>
      </w:r>
      <w:hyperlink r:id="rId11" w:history="1">
        <w:r w:rsidR="00AD665F" w:rsidRPr="006F68FB">
          <w:rPr>
            <w:rStyle w:val="Hyperlink"/>
            <w:rFonts w:ascii="Calibri" w:hAnsi="Calibri" w:cs="Calibri"/>
            <w:iCs/>
            <w:color w:val="auto"/>
            <w:sz w:val="16"/>
            <w:szCs w:val="16"/>
            <w:u w:val="none"/>
            <w:lang w:val="id-ID"/>
          </w:rPr>
          <w:t>farid.fathony22sps@mhs.uinjkt.ac.id</w:t>
        </w:r>
      </w:hyperlink>
      <w:r w:rsidR="00AD665F" w:rsidRPr="006F68FB">
        <w:rPr>
          <w:rFonts w:ascii="Calibri" w:hAnsi="Calibri" w:cs="Calibri"/>
          <w:iCs/>
          <w:sz w:val="16"/>
          <w:szCs w:val="16"/>
          <w:lang w:val="id-ID"/>
        </w:rPr>
        <w:t xml:space="preserve"> </w:t>
      </w:r>
      <w:r w:rsidR="00353B99" w:rsidRPr="006F68FB">
        <w:rPr>
          <w:rFonts w:ascii="Calibri" w:hAnsi="Calibri" w:cs="Calibri"/>
          <w:iCs/>
          <w:sz w:val="16"/>
          <w:szCs w:val="16"/>
        </w:rPr>
        <w:t xml:space="preserve"> </w:t>
      </w:r>
    </w:p>
    <w:p w14:paraId="6E666928" w14:textId="77777777" w:rsidR="006531DF" w:rsidRPr="006531DF" w:rsidRDefault="006531DF" w:rsidP="006531DF">
      <w:pPr>
        <w:jc w:val="center"/>
        <w:rPr>
          <w:rFonts w:ascii="Arial Narrow" w:hAnsi="Arial Narrow" w:cs="Calibri"/>
          <w:b/>
          <w:bCs/>
          <w:sz w:val="20"/>
          <w:szCs w:val="20"/>
        </w:rPr>
      </w:pPr>
      <w:r w:rsidRPr="006531DF">
        <w:rPr>
          <w:rFonts w:ascii="Arial Narrow" w:hAnsi="Arial Narrow" w:cs="Calibri"/>
          <w:b/>
          <w:bCs/>
          <w:iCs/>
          <w:sz w:val="20"/>
          <w:szCs w:val="20"/>
        </w:rPr>
        <w:t>ABSTRACT:</w:t>
      </w:r>
    </w:p>
    <w:p w14:paraId="5B08BB37" w14:textId="31BD75E6" w:rsidR="00C92344" w:rsidRPr="00482636" w:rsidRDefault="003618CA" w:rsidP="003618CA">
      <w:pPr>
        <w:spacing w:after="0"/>
        <w:ind w:left="850" w:right="648"/>
        <w:jc w:val="both"/>
        <w:rPr>
          <w:rFonts w:ascii="Times New Roman" w:hAnsi="Times New Roman" w:cs="Times New Roman"/>
          <w:iCs/>
          <w:sz w:val="20"/>
          <w:szCs w:val="20"/>
        </w:rPr>
      </w:pPr>
      <w:r w:rsidRPr="003618CA">
        <w:rPr>
          <w:rFonts w:ascii="Arial Narrow" w:hAnsi="Arial Narrow" w:cs="Times New Roman"/>
          <w:sz w:val="20"/>
          <w:szCs w:val="20"/>
        </w:rPr>
        <w:t>The expansion of the Islamic banking industry has played a crucial role in the development banking in Indonesia. The literature on banking efficiency focuses primarily on profitability efficiency and disregards religiosity as a variable as an indirect effect. This study examines the effectiveness and reflexivity of Islamic banks in Indonesia for the years 2019 to 2021. Combining Data Envelopment Analysis (DEA) and Hahslm; Salat Theory demonstrated the efficiency and reflexivity of Bank Syariah Indonesia. The results indicate that efficiency increased by approximately 23% during this time period, while Hahslm; salat was influenced by approximately 90%. These results ensure that religious values and bank performance are completely consistent</w:t>
      </w:r>
      <w:r w:rsidR="00DA7C16" w:rsidRPr="00DA7C16">
        <w:rPr>
          <w:rFonts w:ascii="Arial Narrow" w:hAnsi="Arial Narrow" w:cs="Times New Roman"/>
          <w:sz w:val="20"/>
          <w:szCs w:val="20"/>
        </w:rPr>
        <w:t>.</w:t>
      </w:r>
    </w:p>
    <w:p w14:paraId="0596878A" w14:textId="77777777" w:rsidR="00C92344" w:rsidRDefault="00C92344" w:rsidP="00C92344">
      <w:pPr>
        <w:spacing w:after="0"/>
        <w:ind w:left="850" w:right="648"/>
        <w:jc w:val="both"/>
        <w:rPr>
          <w:rFonts w:ascii="Times New Roman" w:hAnsi="Times New Roman" w:cs="Times New Roman"/>
          <w:i/>
          <w:sz w:val="20"/>
          <w:szCs w:val="20"/>
        </w:rPr>
      </w:pPr>
    </w:p>
    <w:p w14:paraId="64268FAA" w14:textId="4AB9BD72" w:rsidR="006531DF" w:rsidRPr="00C92344" w:rsidRDefault="006531DF" w:rsidP="00D74647">
      <w:pPr>
        <w:spacing w:after="0"/>
        <w:ind w:left="850" w:right="648"/>
        <w:jc w:val="both"/>
        <w:rPr>
          <w:rFonts w:ascii="Times New Roman" w:hAnsi="Times New Roman" w:cs="Times New Roman"/>
          <w:i/>
          <w:sz w:val="20"/>
          <w:szCs w:val="20"/>
        </w:rPr>
      </w:pPr>
      <w:r w:rsidRPr="00DB6423">
        <w:rPr>
          <w:rFonts w:ascii="Arial Narrow" w:hAnsi="Arial Narrow"/>
          <w:b/>
          <w:bCs/>
          <w:i/>
          <w:iCs/>
          <w:sz w:val="20"/>
          <w:szCs w:val="20"/>
        </w:rPr>
        <w:t xml:space="preserve">Keywords: </w:t>
      </w:r>
      <w:r w:rsidR="00D74647" w:rsidRPr="00D74647">
        <w:rPr>
          <w:rFonts w:ascii="Arial Narrow" w:hAnsi="Arial Narrow"/>
          <w:b/>
          <w:bCs/>
          <w:i/>
          <w:iCs/>
          <w:sz w:val="20"/>
          <w:szCs w:val="20"/>
        </w:rPr>
        <w:t>Salat, Efficiency, Data Envelopment Analysis, Hahslm, RoA</w:t>
      </w:r>
      <w:r w:rsidR="00482636">
        <w:rPr>
          <w:rFonts w:ascii="Arial Narrow" w:hAnsi="Arial Narrow"/>
          <w:b/>
          <w:bCs/>
          <w:i/>
          <w:iCs/>
          <w:sz w:val="20"/>
          <w:szCs w:val="20"/>
        </w:rPr>
        <w:t>.</w:t>
      </w:r>
    </w:p>
    <w:p w14:paraId="36625D00" w14:textId="660265D1" w:rsidR="006531DF" w:rsidRPr="006531DF" w:rsidRDefault="00AE7C5A" w:rsidP="00AE7C5A">
      <w:pPr>
        <w:tabs>
          <w:tab w:val="left" w:pos="4620"/>
        </w:tabs>
        <w:spacing w:line="240" w:lineRule="auto"/>
        <w:rPr>
          <w:rFonts w:ascii="Arial Narrow" w:hAnsi="Arial Narrow" w:cs="Calibri"/>
          <w:b/>
          <w:sz w:val="20"/>
          <w:szCs w:val="20"/>
        </w:rPr>
      </w:pPr>
      <w:r>
        <w:rPr>
          <w:rFonts w:ascii="Arial Narrow" w:hAnsi="Arial Narrow" w:cs="Calibri"/>
          <w:b/>
          <w:sz w:val="20"/>
          <w:szCs w:val="20"/>
        </w:rPr>
        <w:tab/>
      </w:r>
    </w:p>
    <w:p w14:paraId="7696A695" w14:textId="77777777" w:rsidR="008862D7" w:rsidRPr="008862D7" w:rsidRDefault="008862D7" w:rsidP="008862D7">
      <w:pPr>
        <w:jc w:val="center"/>
        <w:rPr>
          <w:rFonts w:ascii="Arial Narrow" w:hAnsi="Arial Narrow" w:cs="Calibri"/>
          <w:sz w:val="20"/>
          <w:szCs w:val="20"/>
        </w:rPr>
      </w:pPr>
      <w:r w:rsidRPr="008862D7">
        <w:rPr>
          <w:rFonts w:ascii="Arial Narrow" w:hAnsi="Arial Narrow" w:cs="Calibri"/>
          <w:b/>
          <w:sz w:val="20"/>
          <w:szCs w:val="20"/>
          <w:lang w:val="id-ID"/>
        </w:rPr>
        <w:t>ABSTRAK</w:t>
      </w:r>
      <w:r w:rsidRPr="008862D7">
        <w:rPr>
          <w:rFonts w:ascii="Arial Narrow" w:hAnsi="Arial Narrow" w:cs="Calibri"/>
          <w:b/>
          <w:sz w:val="20"/>
          <w:szCs w:val="20"/>
        </w:rPr>
        <w:t>:</w:t>
      </w:r>
    </w:p>
    <w:p w14:paraId="3B37378B" w14:textId="1755D007" w:rsidR="0039481D" w:rsidRDefault="00D74647" w:rsidP="00D74647">
      <w:pPr>
        <w:spacing w:after="0"/>
        <w:ind w:left="850" w:right="648"/>
        <w:jc w:val="both"/>
        <w:rPr>
          <w:rFonts w:ascii="Arial Narrow" w:hAnsi="Arial Narrow" w:cs="Calibri"/>
          <w:sz w:val="20"/>
          <w:szCs w:val="20"/>
        </w:rPr>
      </w:pPr>
      <w:r w:rsidRPr="00D74647">
        <w:rPr>
          <w:rFonts w:ascii="Arial Narrow" w:hAnsi="Arial Narrow" w:cs="Calibri"/>
          <w:sz w:val="20"/>
          <w:szCs w:val="20"/>
        </w:rPr>
        <w:t xml:space="preserve">Perkembangan industri perbankan syariah telah memainkan peranan penting dalam perbankan Indonesia. Beberapa penelitian mengukur tingkat pertumbuhan bank berdasarkan dari efisiensi produktifitas. Namun, mengabaikan unsur religiusitas sebagai variabel yang secara tidak langsung juga memberikan pengaruh terhadap kinerja bank. Penelitian ini akan menguraikan tingkat efisiensi dan refleksivitas bank syariah indonesia periode 2019-2021. Metode yang digunakan dalam penelitian ini menggunakan data envelopment analysis (dea) dikombinasikan dengan Hahslm; salat teori untuk mengukur tingkat efisiensi dan refleksivitas bank syariah Indonesia. Hasil penelitian menunjukkan tingkat efisiensi bank syariah Indonesia meningkat secara siginifikan dengan nilai 23% periode 2020-2021. Pada uji Hahslm; salat juga mengalami peningkatan 90% pada periode yang sama. Dengan demikian perhitungan kombinasi tingkat efisiensi dengan nilai bobot shalat akan membuktikan keselarasan antara nilai keagamaan dengan tingkat efisiensi kinerja pada bank. Nilai pengaruh sholat tahun 2020 sebesar 0,0008% dan pada tahun 2021 sebesar 0,207%. Berdasarkan perhitungan tersebut, dapat diketahui bahwa terjadi kenaikan drastis pada nilai </w:t>
      </w:r>
      <w:bookmarkStart w:id="1" w:name="_GoBack"/>
      <w:bookmarkEnd w:id="1"/>
      <w:r w:rsidRPr="00D74647">
        <w:rPr>
          <w:rFonts w:ascii="Arial Narrow" w:hAnsi="Arial Narrow" w:cs="Calibri"/>
          <w:sz w:val="20"/>
          <w:szCs w:val="20"/>
        </w:rPr>
        <w:t>pengaruh shalat dari tahun 2020 ke tahun 2021</w:t>
      </w:r>
      <w:r w:rsidR="00DA7C16" w:rsidRPr="00DA7C16">
        <w:rPr>
          <w:rFonts w:ascii="Arial Narrow" w:hAnsi="Arial Narrow" w:cs="Calibri"/>
          <w:sz w:val="20"/>
          <w:szCs w:val="20"/>
        </w:rPr>
        <w:t>.</w:t>
      </w:r>
    </w:p>
    <w:p w14:paraId="34846058" w14:textId="39904F0B" w:rsidR="0039481D" w:rsidRDefault="00482636" w:rsidP="00482636">
      <w:pPr>
        <w:tabs>
          <w:tab w:val="left" w:pos="2595"/>
        </w:tabs>
        <w:spacing w:after="0"/>
        <w:ind w:left="850" w:right="648"/>
        <w:jc w:val="both"/>
        <w:rPr>
          <w:rFonts w:ascii="Arial Narrow" w:hAnsi="Arial Narrow" w:cs="Calibri"/>
          <w:sz w:val="20"/>
          <w:szCs w:val="20"/>
        </w:rPr>
      </w:pPr>
      <w:r>
        <w:rPr>
          <w:rFonts w:ascii="Arial Narrow" w:hAnsi="Arial Narrow" w:cs="Calibri"/>
          <w:sz w:val="20"/>
          <w:szCs w:val="20"/>
        </w:rPr>
        <w:tab/>
      </w:r>
    </w:p>
    <w:p w14:paraId="2F81AB5F" w14:textId="6A0F3347" w:rsidR="006531DF" w:rsidRPr="0039481D" w:rsidRDefault="008862D7" w:rsidP="00DC6DCF">
      <w:pPr>
        <w:spacing w:after="0"/>
        <w:ind w:left="850" w:right="648"/>
        <w:jc w:val="both"/>
        <w:rPr>
          <w:rFonts w:ascii="Arial Narrow" w:hAnsi="Arial Narrow" w:cs="Calibri"/>
          <w:sz w:val="20"/>
          <w:szCs w:val="20"/>
        </w:rPr>
      </w:pPr>
      <w:r w:rsidRPr="008862D7">
        <w:rPr>
          <w:rFonts w:ascii="Arial Narrow" w:hAnsi="Arial Narrow"/>
          <w:b/>
          <w:bCs/>
          <w:i/>
          <w:iCs/>
          <w:sz w:val="20"/>
          <w:szCs w:val="20"/>
        </w:rPr>
        <w:t>Kata</w:t>
      </w:r>
      <w:r w:rsidRPr="008862D7">
        <w:rPr>
          <w:rFonts w:ascii="Arial Narrow" w:hAnsi="Arial Narrow"/>
          <w:b/>
          <w:bCs/>
          <w:i/>
          <w:iCs/>
          <w:sz w:val="20"/>
          <w:szCs w:val="20"/>
          <w:lang w:val="id-ID"/>
        </w:rPr>
        <w:t xml:space="preserve"> </w:t>
      </w:r>
      <w:r w:rsidR="002B4FF8" w:rsidRPr="008862D7">
        <w:rPr>
          <w:rFonts w:ascii="Arial Narrow" w:hAnsi="Arial Narrow"/>
          <w:b/>
          <w:bCs/>
          <w:i/>
          <w:iCs/>
          <w:sz w:val="20"/>
          <w:szCs w:val="20"/>
          <w:lang w:val="id-ID"/>
        </w:rPr>
        <w:t>kunci:</w:t>
      </w:r>
      <w:r w:rsidRPr="008862D7">
        <w:rPr>
          <w:rFonts w:ascii="Arial Narrow" w:hAnsi="Arial Narrow"/>
          <w:b/>
          <w:bCs/>
          <w:i/>
          <w:iCs/>
          <w:sz w:val="20"/>
          <w:szCs w:val="20"/>
        </w:rPr>
        <w:t xml:space="preserve"> </w:t>
      </w:r>
      <w:r w:rsidR="00DC6DCF" w:rsidRPr="00DC6DCF">
        <w:rPr>
          <w:rFonts w:ascii="Arial Narrow" w:hAnsi="Arial Narrow"/>
          <w:b/>
          <w:bCs/>
          <w:i/>
          <w:iCs/>
          <w:sz w:val="20"/>
          <w:szCs w:val="20"/>
        </w:rPr>
        <w:t>Salat, Efisiensi, Data Envelopment Analisis, Hahslm, RoA</w:t>
      </w:r>
      <w:r w:rsidR="002C5885" w:rsidRPr="00B62167">
        <w:rPr>
          <w:rFonts w:ascii="Arial Narrow" w:hAnsi="Arial Narrow"/>
          <w:b/>
          <w:bCs/>
          <w:i/>
          <w:iCs/>
          <w:sz w:val="20"/>
          <w:szCs w:val="20"/>
        </w:rPr>
        <w:t>.</w:t>
      </w:r>
    </w:p>
    <w:p w14:paraId="06F39271" w14:textId="002546E3" w:rsidR="003E2A20" w:rsidRPr="003E2A20" w:rsidRDefault="00906191" w:rsidP="00906191">
      <w:pPr>
        <w:tabs>
          <w:tab w:val="left" w:pos="5205"/>
        </w:tabs>
        <w:spacing w:after="0"/>
        <w:jc w:val="both"/>
        <w:rPr>
          <w:rFonts w:ascii="Arial Narrow" w:hAnsi="Arial Narrow"/>
          <w:b/>
          <w:bCs/>
          <w:i/>
          <w:iCs/>
          <w:sz w:val="24"/>
          <w:szCs w:val="24"/>
          <w:lang w:val="id-ID"/>
        </w:rPr>
      </w:pPr>
      <w:r>
        <w:rPr>
          <w:rFonts w:ascii="Arial Narrow" w:hAnsi="Arial Narrow"/>
          <w:b/>
          <w:bCs/>
          <w:i/>
          <w:iCs/>
          <w:sz w:val="24"/>
          <w:szCs w:val="24"/>
          <w:lang w:val="id-ID"/>
        </w:rPr>
        <w:tab/>
      </w:r>
    </w:p>
    <w:p w14:paraId="1C22DA68" w14:textId="77777777" w:rsidR="003E2A20" w:rsidRPr="003E2A20" w:rsidRDefault="003E2A20" w:rsidP="003E2A20">
      <w:pPr>
        <w:spacing w:after="0"/>
        <w:jc w:val="both"/>
        <w:rPr>
          <w:rFonts w:ascii="Arial Narrow" w:hAnsi="Arial Narrow"/>
          <w:b/>
          <w:bCs/>
          <w:i/>
          <w:iCs/>
          <w:sz w:val="24"/>
          <w:szCs w:val="24"/>
          <w:lang w:val="id-ID"/>
        </w:rPr>
      </w:pPr>
    </w:p>
    <w:p w14:paraId="1C9826F8" w14:textId="4895989E" w:rsidR="008862D7" w:rsidRPr="008862D7" w:rsidRDefault="000E3CFD" w:rsidP="000E3CFD">
      <w:pPr>
        <w:spacing w:after="0"/>
        <w:ind w:left="288" w:right="26"/>
        <w:jc w:val="both"/>
        <w:rPr>
          <w:rFonts w:asciiTheme="majorHAnsi" w:hAnsiTheme="majorHAnsi" w:cs="Calibri"/>
          <w:b/>
          <w:bCs/>
          <w:sz w:val="24"/>
          <w:szCs w:val="24"/>
        </w:rPr>
      </w:pPr>
      <w:r w:rsidRPr="000E3CFD">
        <w:rPr>
          <w:rFonts w:asciiTheme="majorHAnsi" w:hAnsiTheme="majorHAnsi" w:cs="Calibri"/>
          <w:b/>
          <w:bCs/>
          <w:sz w:val="24"/>
          <w:szCs w:val="24"/>
        </w:rPr>
        <w:lastRenderedPageBreak/>
        <w:t>INTRODUCTION</w:t>
      </w:r>
    </w:p>
    <w:p w14:paraId="27363C48" w14:textId="3413318D" w:rsidR="00160F65" w:rsidRPr="00160F65" w:rsidRDefault="000E3CFD" w:rsidP="000E3CFD">
      <w:pPr>
        <w:spacing w:after="0"/>
        <w:ind w:left="288" w:right="26" w:firstLine="709"/>
        <w:jc w:val="both"/>
        <w:rPr>
          <w:rFonts w:asciiTheme="majorHAnsi" w:hAnsiTheme="majorHAnsi" w:cs="Calibri"/>
          <w:color w:val="000000"/>
          <w:sz w:val="24"/>
          <w:szCs w:val="24"/>
          <w:shd w:val="clear" w:color="auto" w:fill="FFFFFF"/>
        </w:rPr>
      </w:pPr>
      <w:r w:rsidRPr="000E3CFD">
        <w:rPr>
          <w:rFonts w:asciiTheme="majorHAnsi" w:hAnsiTheme="majorHAnsi" w:cs="Calibri"/>
          <w:color w:val="000000"/>
          <w:sz w:val="24"/>
          <w:szCs w:val="24"/>
          <w:shd w:val="clear" w:color="auto" w:fill="FFFFFF"/>
        </w:rPr>
        <w:t>In modern day economic, banks perform an essential role in the economic growth of a country. As per financial institutions, banks perform a decisive role such as in the payment mechanism and in dealing with the financial market and instruments. Additionally, Banks serve a crucial part as financial intermediaries and are considered immensely significant for economic functions.</w:t>
      </w:r>
      <w:r w:rsidR="001200F2">
        <w:rPr>
          <w:rStyle w:val="FootnoteReference"/>
          <w:rFonts w:asciiTheme="majorHAnsi" w:hAnsiTheme="majorHAnsi" w:cs="Calibri"/>
          <w:color w:val="000000"/>
          <w:sz w:val="24"/>
          <w:szCs w:val="24"/>
          <w:shd w:val="clear" w:color="auto" w:fill="FFFFFF"/>
        </w:rPr>
        <w:footnoteReference w:id="1"/>
      </w:r>
      <w:r w:rsidRPr="000E3CFD">
        <w:rPr>
          <w:rFonts w:asciiTheme="majorHAnsi" w:hAnsiTheme="majorHAnsi" w:cs="Calibri"/>
          <w:color w:val="000000"/>
          <w:sz w:val="24"/>
          <w:szCs w:val="24"/>
          <w:shd w:val="clear" w:color="auto" w:fill="FFFFFF"/>
        </w:rPr>
        <w:t xml:space="preserve"> The advancement of sharia banking in Indonesia aims to provide the utmost benefit to the people of Indonesia while at the same time fulfilling an optimal contribution to the national economic system. The rapid growth of the Islamic finance industry particularly Islamic banking is considered significant</w:t>
      </w:r>
      <w:r>
        <w:rPr>
          <w:rFonts w:asciiTheme="majorHAnsi" w:hAnsiTheme="majorHAnsi" w:cs="Calibri"/>
          <w:color w:val="000000"/>
          <w:sz w:val="24"/>
          <w:szCs w:val="24"/>
          <w:shd w:val="clear" w:color="auto" w:fill="FFFFFF"/>
          <w:lang w:val="id-ID"/>
        </w:rPr>
        <w:t>.</w:t>
      </w:r>
      <w:r w:rsidR="00160F65" w:rsidRPr="00160F65">
        <w:rPr>
          <w:rFonts w:asciiTheme="majorHAnsi" w:hAnsiTheme="majorHAnsi" w:cs="Calibri"/>
          <w:color w:val="000000"/>
          <w:sz w:val="24"/>
          <w:szCs w:val="24"/>
          <w:shd w:val="clear" w:color="auto" w:fill="FFFFFF"/>
        </w:rPr>
        <w:t xml:space="preserve"> </w:t>
      </w:r>
    </w:p>
    <w:p w14:paraId="1A5666E5" w14:textId="5C74E95A" w:rsidR="00160F65" w:rsidRPr="00160F65" w:rsidRDefault="009B1AE3" w:rsidP="009B1AE3">
      <w:pPr>
        <w:spacing w:after="0"/>
        <w:ind w:left="288" w:right="26" w:firstLine="709"/>
        <w:jc w:val="both"/>
        <w:rPr>
          <w:rFonts w:asciiTheme="majorHAnsi" w:hAnsiTheme="majorHAnsi" w:cs="Calibri"/>
          <w:color w:val="000000"/>
          <w:sz w:val="24"/>
          <w:szCs w:val="24"/>
          <w:shd w:val="clear" w:color="auto" w:fill="FFFFFF"/>
          <w:lang w:val="id-ID"/>
        </w:rPr>
      </w:pPr>
      <w:r w:rsidRPr="009B1AE3">
        <w:rPr>
          <w:rFonts w:asciiTheme="majorHAnsi" w:hAnsiTheme="majorHAnsi" w:cs="Calibri"/>
          <w:color w:val="000000"/>
          <w:sz w:val="24"/>
          <w:szCs w:val="24"/>
          <w:shd w:val="clear" w:color="auto" w:fill="FFFFFF"/>
        </w:rPr>
        <w:t>Significant Noteworthy developments of banking industry have shaped the industry an elevated position in the general public. Thus, maintaining public trust is mandatory against the competition in the banking industry. For the sake of nature competition, several factors must be measured including measurement of the level of efficiency. Branka underlines the most significant driver of a bank's profitability is efficiency, in addition to incomes, risk-taking, and leverage</w:t>
      </w:r>
      <w:r w:rsidR="001200F2">
        <w:rPr>
          <w:rFonts w:asciiTheme="majorHAnsi" w:hAnsiTheme="majorHAnsi" w:cs="Calibri"/>
          <w:color w:val="000000"/>
          <w:sz w:val="24"/>
          <w:szCs w:val="24"/>
          <w:shd w:val="clear" w:color="auto" w:fill="FFFFFF"/>
        </w:rPr>
        <w:t xml:space="preserve">. </w:t>
      </w:r>
      <w:r w:rsidRPr="009B1AE3">
        <w:rPr>
          <w:rFonts w:asciiTheme="majorHAnsi" w:hAnsiTheme="majorHAnsi" w:cs="Calibri"/>
          <w:color w:val="000000"/>
          <w:sz w:val="24"/>
          <w:szCs w:val="24"/>
          <w:shd w:val="clear" w:color="auto" w:fill="FFFFFF"/>
        </w:rPr>
        <w:t>Accordingly, work efficiency deemed ideal benchmarking for work objectives and targets based on quality or outcomes. Without a hesitation, efficiency must take precedence in all areas of banking, including Islamic Banking. In economic theory, there are two broad conceptions of efficiency: economic efficiency and production efficiency. As an economic notion, efficiency is viewed from a macro perspective, whereas production efficiency is viewed from a micro one.</w:t>
      </w:r>
      <w:r w:rsidR="001200F2">
        <w:rPr>
          <w:rStyle w:val="FootnoteReference"/>
          <w:rFonts w:asciiTheme="majorHAnsi" w:hAnsiTheme="majorHAnsi" w:cs="Calibri"/>
          <w:color w:val="000000"/>
          <w:sz w:val="24"/>
          <w:szCs w:val="24"/>
          <w:shd w:val="clear" w:color="auto" w:fill="FFFFFF"/>
        </w:rPr>
        <w:footnoteReference w:id="2"/>
      </w:r>
      <w:r w:rsidR="00160F65" w:rsidRPr="00160F65">
        <w:rPr>
          <w:rFonts w:asciiTheme="majorHAnsi" w:hAnsiTheme="majorHAnsi" w:cs="Calibri"/>
          <w:color w:val="000000"/>
          <w:sz w:val="24"/>
          <w:szCs w:val="24"/>
          <w:shd w:val="clear" w:color="auto" w:fill="FFFFFF"/>
          <w:lang w:val="id-ID"/>
        </w:rPr>
        <w:t xml:space="preserve"> </w:t>
      </w:r>
    </w:p>
    <w:p w14:paraId="15DCE43A" w14:textId="44F9CB72" w:rsidR="00160F65" w:rsidRPr="00BD340D" w:rsidRDefault="009B1AE3" w:rsidP="00BD340D">
      <w:pPr>
        <w:spacing w:after="0"/>
        <w:ind w:left="288" w:right="26" w:firstLine="709"/>
        <w:jc w:val="both"/>
        <w:rPr>
          <w:rFonts w:asciiTheme="majorHAnsi" w:hAnsiTheme="majorHAnsi" w:cs="Calibri"/>
          <w:color w:val="000000"/>
          <w:sz w:val="24"/>
          <w:szCs w:val="24"/>
          <w:shd w:val="clear" w:color="auto" w:fill="FFFFFF"/>
          <w:lang w:val="id-ID"/>
        </w:rPr>
      </w:pPr>
      <w:r w:rsidRPr="009B1AE3">
        <w:rPr>
          <w:rFonts w:asciiTheme="majorHAnsi" w:hAnsiTheme="majorHAnsi" w:cs="Calibri"/>
          <w:color w:val="000000"/>
          <w:sz w:val="24"/>
          <w:szCs w:val="24"/>
          <w:shd w:val="clear" w:color="auto" w:fill="FFFFFF"/>
        </w:rPr>
        <w:t>Economic efficiency is the utilization of the available resources for the best value. This requires optimizing the utilization of available resources and eliminating waste. The concept of macro-efficiency particularly refers to the utilization of resources in the economy leading toward societal prosperity.</w:t>
      </w:r>
      <w:r w:rsidR="003E19F6">
        <w:rPr>
          <w:rStyle w:val="FootnoteReference"/>
          <w:rFonts w:asciiTheme="majorHAnsi" w:hAnsiTheme="majorHAnsi" w:cs="Calibri"/>
          <w:color w:val="000000"/>
          <w:sz w:val="24"/>
          <w:szCs w:val="24"/>
          <w:shd w:val="clear" w:color="auto" w:fill="FFFFFF"/>
        </w:rPr>
        <w:footnoteReference w:id="3"/>
      </w:r>
      <w:r w:rsidRPr="009B1AE3">
        <w:rPr>
          <w:rFonts w:asciiTheme="majorHAnsi" w:hAnsiTheme="majorHAnsi" w:cs="Calibri"/>
          <w:color w:val="000000"/>
          <w:sz w:val="24"/>
          <w:szCs w:val="24"/>
          <w:shd w:val="clear" w:color="auto" w:fill="FFFFFF"/>
        </w:rPr>
        <w:t xml:space="preserve"> Meanwhile, the concept of efficiency is derived from microeconomic theory, specifically from the producer and consumer theory. Manufacturers, according to producer theory, would like to maximize revenue while minimizing expenses. Consumers, according to consumer theory, strive to maximize their value or level of satisfaction. In addition, producer theory defines a production line where inputs and outputs interact during the production process. While production limit line shows the greatest level of output from each utilization of input resources, which represents the company's or industry's use of </w:t>
      </w:r>
      <w:r w:rsidRPr="009B1AE3">
        <w:rPr>
          <w:rFonts w:asciiTheme="majorHAnsi" w:hAnsiTheme="majorHAnsi" w:cs="Calibri"/>
          <w:color w:val="000000"/>
          <w:sz w:val="24"/>
          <w:szCs w:val="24"/>
          <w:shd w:val="clear" w:color="auto" w:fill="FFFFFF"/>
        </w:rPr>
        <w:lastRenderedPageBreak/>
        <w:t>technology.</w:t>
      </w:r>
      <w:r w:rsidR="00120204">
        <w:rPr>
          <w:rStyle w:val="FootnoteReference"/>
          <w:rFonts w:asciiTheme="majorHAnsi" w:hAnsiTheme="majorHAnsi" w:cs="Calibri"/>
          <w:color w:val="000000"/>
          <w:sz w:val="24"/>
          <w:szCs w:val="24"/>
          <w:shd w:val="clear" w:color="auto" w:fill="FFFFFF"/>
        </w:rPr>
        <w:footnoteReference w:id="4"/>
      </w:r>
      <w:r w:rsidR="00BD340D">
        <w:rPr>
          <w:rFonts w:asciiTheme="majorHAnsi" w:hAnsiTheme="majorHAnsi" w:cs="Calibri"/>
          <w:color w:val="000000"/>
          <w:sz w:val="24"/>
          <w:szCs w:val="24"/>
          <w:shd w:val="clear" w:color="auto" w:fill="FFFFFF"/>
        </w:rPr>
        <w:t xml:space="preserve"> </w:t>
      </w:r>
      <w:r w:rsidRPr="009B1AE3">
        <w:rPr>
          <w:rFonts w:asciiTheme="majorHAnsi" w:hAnsiTheme="majorHAnsi" w:cs="Calibri"/>
          <w:color w:val="000000"/>
          <w:sz w:val="24"/>
          <w:szCs w:val="24"/>
          <w:shd w:val="clear" w:color="auto" w:fill="FFFFFF"/>
        </w:rPr>
        <w:t>Accordingly, purposedly to identify a better performance, an assessment of the Islamic banking industry development is absolutely required. For that purpose, it can be perceived from data on financial ratios such as Non-Performing Financing (NPF) and Finance to Deposit Ratio (FDR) to show that banks have managed their financial resources well to improve performance, growth, and investment.</w:t>
      </w:r>
    </w:p>
    <w:p w14:paraId="7073E02E" w14:textId="77777777" w:rsidR="009222B7" w:rsidRDefault="009222B7" w:rsidP="009B1AE3">
      <w:pPr>
        <w:spacing w:after="0"/>
        <w:ind w:left="288" w:right="26" w:firstLine="709"/>
        <w:jc w:val="both"/>
        <w:rPr>
          <w:rFonts w:asciiTheme="majorHAnsi" w:hAnsiTheme="majorHAnsi" w:cs="Calibri"/>
          <w:color w:val="000000"/>
          <w:sz w:val="24"/>
          <w:szCs w:val="24"/>
          <w:shd w:val="clear" w:color="auto" w:fill="FFFFFF"/>
        </w:rPr>
      </w:pPr>
    </w:p>
    <w:p w14:paraId="61E3EA58" w14:textId="7DB856F9" w:rsidR="009B1AE3" w:rsidRDefault="009B1AE3" w:rsidP="009B1AE3">
      <w:pPr>
        <w:spacing w:after="0"/>
        <w:ind w:left="288" w:right="26"/>
        <w:jc w:val="center"/>
        <w:rPr>
          <w:rFonts w:asciiTheme="majorHAnsi" w:hAnsiTheme="majorHAnsi" w:cs="Calibri"/>
          <w:color w:val="000000"/>
          <w:sz w:val="24"/>
          <w:szCs w:val="24"/>
          <w:shd w:val="clear" w:color="auto" w:fill="FFFFFF"/>
          <w:lang w:val="id-ID"/>
        </w:rPr>
      </w:pPr>
      <w:r>
        <w:rPr>
          <w:rFonts w:asciiTheme="majorHAnsi" w:hAnsiTheme="majorHAnsi" w:cs="Calibri"/>
          <w:color w:val="000000"/>
          <w:sz w:val="24"/>
          <w:szCs w:val="24"/>
          <w:shd w:val="clear" w:color="auto" w:fill="FFFFFF"/>
          <w:lang w:val="id-ID"/>
        </w:rPr>
        <w:t xml:space="preserve">Tabel 1. </w:t>
      </w:r>
      <w:r w:rsidRPr="009B1AE3">
        <w:rPr>
          <w:rFonts w:asciiTheme="majorHAnsi" w:hAnsiTheme="majorHAnsi" w:cs="Calibri"/>
          <w:color w:val="000000"/>
          <w:sz w:val="24"/>
          <w:szCs w:val="24"/>
          <w:shd w:val="clear" w:color="auto" w:fill="FFFFFF"/>
        </w:rPr>
        <w:t>Developments in the performance of Indonesian Islamic Banks in 2019-2021</w:t>
      </w:r>
    </w:p>
    <w:tbl>
      <w:tblPr>
        <w:tblStyle w:val="TableGrid1"/>
        <w:tblW w:w="4307" w:type="dxa"/>
        <w:jc w:val="center"/>
        <w:tblLayout w:type="fixed"/>
        <w:tblLook w:val="0400" w:firstRow="0" w:lastRow="0" w:firstColumn="0" w:lastColumn="0" w:noHBand="0" w:noVBand="1"/>
      </w:tblPr>
      <w:tblGrid>
        <w:gridCol w:w="957"/>
        <w:gridCol w:w="1080"/>
        <w:gridCol w:w="1190"/>
        <w:gridCol w:w="1080"/>
      </w:tblGrid>
      <w:tr w:rsidR="009B1AE3" w:rsidRPr="009B1AE3" w14:paraId="7269642D" w14:textId="77777777" w:rsidTr="002403B6">
        <w:trPr>
          <w:trHeight w:val="173"/>
          <w:jc w:val="center"/>
        </w:trPr>
        <w:tc>
          <w:tcPr>
            <w:tcW w:w="957" w:type="dxa"/>
          </w:tcPr>
          <w:p w14:paraId="6889E5CA" w14:textId="77777777" w:rsidR="009B1AE3" w:rsidRPr="009B1AE3" w:rsidRDefault="009B1AE3" w:rsidP="009B1AE3">
            <w:pPr>
              <w:jc w:val="center"/>
              <w:rPr>
                <w:rFonts w:asciiTheme="majorHAnsi" w:eastAsia="Times New Roman" w:hAnsiTheme="majorHAnsi" w:cs="Times New Roman"/>
                <w:sz w:val="24"/>
                <w:szCs w:val="24"/>
              </w:rPr>
            </w:pPr>
          </w:p>
        </w:tc>
        <w:tc>
          <w:tcPr>
            <w:tcW w:w="1080" w:type="dxa"/>
            <w:hideMark/>
          </w:tcPr>
          <w:p w14:paraId="0D4167AE" w14:textId="77777777" w:rsidR="009B1AE3" w:rsidRPr="009B1AE3" w:rsidRDefault="009B1AE3" w:rsidP="009B1AE3">
            <w:pPr>
              <w:jc w:val="center"/>
              <w:rPr>
                <w:rFonts w:asciiTheme="majorHAnsi" w:eastAsia="Times New Roman" w:hAnsiTheme="majorHAnsi" w:cs="Times New Roman"/>
                <w:sz w:val="24"/>
                <w:szCs w:val="24"/>
              </w:rPr>
            </w:pPr>
            <w:r w:rsidRPr="009B1AE3">
              <w:rPr>
                <w:rFonts w:asciiTheme="majorHAnsi" w:eastAsia="Times New Roman" w:hAnsiTheme="majorHAnsi" w:cs="Times New Roman"/>
                <w:sz w:val="24"/>
                <w:szCs w:val="24"/>
              </w:rPr>
              <w:t>2019</w:t>
            </w:r>
          </w:p>
        </w:tc>
        <w:tc>
          <w:tcPr>
            <w:tcW w:w="1190" w:type="dxa"/>
            <w:hideMark/>
          </w:tcPr>
          <w:p w14:paraId="213323E7" w14:textId="77777777" w:rsidR="009B1AE3" w:rsidRPr="009B1AE3" w:rsidRDefault="009B1AE3" w:rsidP="009B1AE3">
            <w:pPr>
              <w:jc w:val="center"/>
              <w:rPr>
                <w:rFonts w:asciiTheme="majorHAnsi" w:eastAsia="Times New Roman" w:hAnsiTheme="majorHAnsi" w:cs="Times New Roman"/>
                <w:sz w:val="24"/>
                <w:szCs w:val="24"/>
              </w:rPr>
            </w:pPr>
            <w:r w:rsidRPr="009B1AE3">
              <w:rPr>
                <w:rFonts w:asciiTheme="majorHAnsi" w:eastAsia="Times New Roman" w:hAnsiTheme="majorHAnsi" w:cs="Times New Roman"/>
                <w:sz w:val="24"/>
                <w:szCs w:val="24"/>
              </w:rPr>
              <w:t>2020</w:t>
            </w:r>
          </w:p>
        </w:tc>
        <w:tc>
          <w:tcPr>
            <w:tcW w:w="1080" w:type="dxa"/>
            <w:hideMark/>
          </w:tcPr>
          <w:p w14:paraId="41F51668" w14:textId="77777777" w:rsidR="009B1AE3" w:rsidRPr="009B1AE3" w:rsidRDefault="009B1AE3" w:rsidP="009B1AE3">
            <w:pPr>
              <w:jc w:val="center"/>
              <w:rPr>
                <w:rFonts w:asciiTheme="majorHAnsi" w:eastAsia="Times New Roman" w:hAnsiTheme="majorHAnsi" w:cs="Times New Roman"/>
                <w:sz w:val="24"/>
                <w:szCs w:val="24"/>
              </w:rPr>
            </w:pPr>
            <w:r w:rsidRPr="009B1AE3">
              <w:rPr>
                <w:rFonts w:asciiTheme="majorHAnsi" w:eastAsia="Times New Roman" w:hAnsiTheme="majorHAnsi" w:cs="Times New Roman"/>
                <w:sz w:val="24"/>
                <w:szCs w:val="24"/>
              </w:rPr>
              <w:t>2021</w:t>
            </w:r>
          </w:p>
        </w:tc>
      </w:tr>
      <w:tr w:rsidR="009B1AE3" w:rsidRPr="009B1AE3" w14:paraId="743446FD" w14:textId="77777777" w:rsidTr="002403B6">
        <w:trPr>
          <w:trHeight w:val="168"/>
          <w:jc w:val="center"/>
        </w:trPr>
        <w:tc>
          <w:tcPr>
            <w:tcW w:w="957" w:type="dxa"/>
            <w:hideMark/>
          </w:tcPr>
          <w:p w14:paraId="50350EBA" w14:textId="77777777" w:rsidR="009B1AE3" w:rsidRPr="009B1AE3" w:rsidRDefault="009B1AE3" w:rsidP="009B1AE3">
            <w:pPr>
              <w:rPr>
                <w:rFonts w:asciiTheme="majorHAnsi" w:eastAsia="Times New Roman" w:hAnsiTheme="majorHAnsi" w:cs="Times New Roman"/>
                <w:sz w:val="24"/>
                <w:szCs w:val="24"/>
              </w:rPr>
            </w:pPr>
            <w:r w:rsidRPr="009B1AE3">
              <w:rPr>
                <w:rFonts w:asciiTheme="majorHAnsi" w:eastAsia="Times New Roman" w:hAnsiTheme="majorHAnsi" w:cs="Times New Roman"/>
                <w:sz w:val="24"/>
                <w:szCs w:val="24"/>
              </w:rPr>
              <w:t>NIM</w:t>
            </w:r>
          </w:p>
        </w:tc>
        <w:tc>
          <w:tcPr>
            <w:tcW w:w="1080" w:type="dxa"/>
            <w:hideMark/>
          </w:tcPr>
          <w:p w14:paraId="1E82E37E" w14:textId="77777777" w:rsidR="009B1AE3" w:rsidRPr="009B1AE3" w:rsidRDefault="009B1AE3" w:rsidP="009B1AE3">
            <w:pPr>
              <w:jc w:val="center"/>
              <w:rPr>
                <w:rFonts w:asciiTheme="majorHAnsi" w:eastAsia="Times New Roman" w:hAnsiTheme="majorHAnsi" w:cs="Times New Roman"/>
                <w:sz w:val="24"/>
                <w:szCs w:val="24"/>
              </w:rPr>
            </w:pPr>
            <w:r w:rsidRPr="009B1AE3">
              <w:rPr>
                <w:rFonts w:asciiTheme="majorHAnsi" w:eastAsia="Times New Roman" w:hAnsiTheme="majorHAnsi" w:cs="Times New Roman"/>
                <w:sz w:val="24"/>
                <w:szCs w:val="24"/>
              </w:rPr>
              <w:t>3,97%</w:t>
            </w:r>
          </w:p>
        </w:tc>
        <w:tc>
          <w:tcPr>
            <w:tcW w:w="1190" w:type="dxa"/>
            <w:hideMark/>
          </w:tcPr>
          <w:p w14:paraId="1E5E1E29" w14:textId="77777777" w:rsidR="009B1AE3" w:rsidRPr="009B1AE3" w:rsidRDefault="009B1AE3" w:rsidP="009B1AE3">
            <w:pPr>
              <w:jc w:val="center"/>
              <w:rPr>
                <w:rFonts w:asciiTheme="majorHAnsi" w:eastAsia="Times New Roman" w:hAnsiTheme="majorHAnsi" w:cs="Times New Roman"/>
                <w:sz w:val="24"/>
                <w:szCs w:val="24"/>
              </w:rPr>
            </w:pPr>
            <w:r w:rsidRPr="009B1AE3">
              <w:rPr>
                <w:rFonts w:asciiTheme="majorHAnsi" w:eastAsia="Times New Roman" w:hAnsiTheme="majorHAnsi" w:cs="Times New Roman"/>
                <w:sz w:val="24"/>
                <w:szCs w:val="24"/>
              </w:rPr>
              <w:t>6.04%</w:t>
            </w:r>
          </w:p>
        </w:tc>
        <w:tc>
          <w:tcPr>
            <w:tcW w:w="1080" w:type="dxa"/>
            <w:hideMark/>
          </w:tcPr>
          <w:p w14:paraId="1BB7C604" w14:textId="77777777" w:rsidR="009B1AE3" w:rsidRPr="009B1AE3" w:rsidRDefault="009B1AE3" w:rsidP="009B1AE3">
            <w:pPr>
              <w:jc w:val="center"/>
              <w:rPr>
                <w:rFonts w:asciiTheme="majorHAnsi" w:eastAsia="Times New Roman" w:hAnsiTheme="majorHAnsi" w:cs="Times New Roman"/>
                <w:sz w:val="24"/>
                <w:szCs w:val="24"/>
              </w:rPr>
            </w:pPr>
            <w:r w:rsidRPr="009B1AE3">
              <w:rPr>
                <w:rFonts w:asciiTheme="majorHAnsi" w:eastAsia="Times New Roman" w:hAnsiTheme="majorHAnsi" w:cs="Times New Roman"/>
                <w:sz w:val="24"/>
                <w:szCs w:val="24"/>
              </w:rPr>
              <w:t>6,04%</w:t>
            </w:r>
          </w:p>
        </w:tc>
      </w:tr>
      <w:tr w:rsidR="009B1AE3" w:rsidRPr="009B1AE3" w14:paraId="545DAF7B" w14:textId="77777777" w:rsidTr="002403B6">
        <w:trPr>
          <w:trHeight w:val="101"/>
          <w:jc w:val="center"/>
        </w:trPr>
        <w:tc>
          <w:tcPr>
            <w:tcW w:w="957" w:type="dxa"/>
            <w:hideMark/>
          </w:tcPr>
          <w:p w14:paraId="14945950" w14:textId="77777777" w:rsidR="009B1AE3" w:rsidRPr="009B1AE3" w:rsidRDefault="009B1AE3" w:rsidP="009B1AE3">
            <w:pPr>
              <w:rPr>
                <w:rFonts w:asciiTheme="majorHAnsi" w:eastAsia="Times New Roman" w:hAnsiTheme="majorHAnsi" w:cs="Times New Roman"/>
                <w:sz w:val="24"/>
                <w:szCs w:val="24"/>
              </w:rPr>
            </w:pPr>
            <w:r w:rsidRPr="009B1AE3">
              <w:rPr>
                <w:rFonts w:asciiTheme="majorHAnsi" w:eastAsia="Times New Roman" w:hAnsiTheme="majorHAnsi" w:cs="Times New Roman"/>
                <w:sz w:val="24"/>
                <w:szCs w:val="24"/>
              </w:rPr>
              <w:t>BOPO</w:t>
            </w:r>
          </w:p>
        </w:tc>
        <w:tc>
          <w:tcPr>
            <w:tcW w:w="1080" w:type="dxa"/>
            <w:hideMark/>
          </w:tcPr>
          <w:p w14:paraId="1A332037" w14:textId="77777777" w:rsidR="009B1AE3" w:rsidRPr="009B1AE3" w:rsidRDefault="009B1AE3" w:rsidP="009B1AE3">
            <w:pPr>
              <w:jc w:val="center"/>
              <w:rPr>
                <w:rFonts w:asciiTheme="majorHAnsi" w:eastAsia="Times New Roman" w:hAnsiTheme="majorHAnsi" w:cs="Times New Roman"/>
                <w:sz w:val="24"/>
                <w:szCs w:val="24"/>
              </w:rPr>
            </w:pPr>
            <w:r w:rsidRPr="009B1AE3">
              <w:rPr>
                <w:rFonts w:asciiTheme="majorHAnsi" w:eastAsia="Times New Roman" w:hAnsiTheme="majorHAnsi" w:cs="Times New Roman"/>
                <w:sz w:val="24"/>
                <w:szCs w:val="24"/>
              </w:rPr>
              <w:t>85,27%</w:t>
            </w:r>
          </w:p>
        </w:tc>
        <w:tc>
          <w:tcPr>
            <w:tcW w:w="1190" w:type="dxa"/>
            <w:hideMark/>
          </w:tcPr>
          <w:p w14:paraId="3667A2C4" w14:textId="77777777" w:rsidR="009B1AE3" w:rsidRPr="009B1AE3" w:rsidRDefault="009B1AE3" w:rsidP="009B1AE3">
            <w:pPr>
              <w:jc w:val="center"/>
              <w:rPr>
                <w:rFonts w:asciiTheme="majorHAnsi" w:eastAsia="Times New Roman" w:hAnsiTheme="majorHAnsi" w:cs="Times New Roman"/>
                <w:sz w:val="24"/>
                <w:szCs w:val="24"/>
              </w:rPr>
            </w:pPr>
            <w:r w:rsidRPr="009B1AE3">
              <w:rPr>
                <w:rFonts w:asciiTheme="majorHAnsi" w:eastAsia="Times New Roman" w:hAnsiTheme="majorHAnsi" w:cs="Times New Roman"/>
                <w:sz w:val="24"/>
                <w:szCs w:val="24"/>
              </w:rPr>
              <w:t>84,61%</w:t>
            </w:r>
          </w:p>
        </w:tc>
        <w:tc>
          <w:tcPr>
            <w:tcW w:w="1080" w:type="dxa"/>
            <w:hideMark/>
          </w:tcPr>
          <w:p w14:paraId="40DC094D" w14:textId="77777777" w:rsidR="009B1AE3" w:rsidRPr="009B1AE3" w:rsidRDefault="009B1AE3" w:rsidP="009B1AE3">
            <w:pPr>
              <w:jc w:val="center"/>
              <w:rPr>
                <w:rFonts w:asciiTheme="majorHAnsi" w:eastAsia="Times New Roman" w:hAnsiTheme="majorHAnsi" w:cs="Times New Roman"/>
                <w:sz w:val="24"/>
                <w:szCs w:val="24"/>
              </w:rPr>
            </w:pPr>
            <w:r w:rsidRPr="009B1AE3">
              <w:rPr>
                <w:rFonts w:asciiTheme="majorHAnsi" w:eastAsia="Times New Roman" w:hAnsiTheme="majorHAnsi" w:cs="Times New Roman"/>
                <w:sz w:val="24"/>
                <w:szCs w:val="24"/>
              </w:rPr>
              <w:t>80,46%</w:t>
            </w:r>
          </w:p>
        </w:tc>
      </w:tr>
    </w:tbl>
    <w:p w14:paraId="7FA211CC" w14:textId="5FCA8323" w:rsidR="009B1AE3" w:rsidRDefault="009222B7" w:rsidP="009222B7">
      <w:pPr>
        <w:spacing w:after="0"/>
        <w:ind w:left="288" w:right="26" w:firstLine="709"/>
        <w:jc w:val="both"/>
        <w:rPr>
          <w:rFonts w:asciiTheme="majorHAnsi" w:hAnsiTheme="majorHAnsi" w:cs="Calibri"/>
          <w:color w:val="000000"/>
          <w:sz w:val="16"/>
          <w:szCs w:val="16"/>
          <w:shd w:val="clear" w:color="auto" w:fill="FFFFFF"/>
          <w:lang w:val="id-ID"/>
        </w:rPr>
      </w:pPr>
      <w:r w:rsidRPr="009222B7">
        <w:rPr>
          <w:rFonts w:asciiTheme="majorHAnsi" w:hAnsiTheme="majorHAnsi" w:cs="Calibri"/>
          <w:i/>
          <w:iCs/>
          <w:color w:val="000000"/>
          <w:sz w:val="16"/>
          <w:szCs w:val="16"/>
          <w:shd w:val="clear" w:color="auto" w:fill="FFFFFF"/>
        </w:rPr>
        <w:t>Source: Analysis, 2022</w:t>
      </w:r>
      <w:r>
        <w:rPr>
          <w:rFonts w:asciiTheme="majorHAnsi" w:hAnsiTheme="majorHAnsi" w:cs="Calibri"/>
          <w:color w:val="000000"/>
          <w:sz w:val="16"/>
          <w:szCs w:val="16"/>
          <w:shd w:val="clear" w:color="auto" w:fill="FFFFFF"/>
          <w:lang w:val="id-ID"/>
        </w:rPr>
        <w:t>.</w:t>
      </w:r>
    </w:p>
    <w:p w14:paraId="4D149915" w14:textId="77777777" w:rsidR="00F6318B" w:rsidRPr="00412F84" w:rsidRDefault="00F6318B" w:rsidP="009222B7">
      <w:pPr>
        <w:spacing w:after="0"/>
        <w:ind w:left="288" w:right="26" w:firstLine="709"/>
        <w:jc w:val="both"/>
        <w:rPr>
          <w:rFonts w:asciiTheme="majorHAnsi" w:hAnsiTheme="majorHAnsi" w:cs="Calibri"/>
          <w:color w:val="000000"/>
          <w:sz w:val="24"/>
          <w:szCs w:val="24"/>
          <w:shd w:val="clear" w:color="auto" w:fill="FFFFFF"/>
          <w:lang w:val="id-ID"/>
        </w:rPr>
      </w:pPr>
    </w:p>
    <w:p w14:paraId="0B16EA7E" w14:textId="1B59E234" w:rsidR="00160F65" w:rsidRPr="00160F65" w:rsidRDefault="00152678" w:rsidP="00152678">
      <w:pPr>
        <w:spacing w:after="0"/>
        <w:ind w:left="288" w:right="26" w:firstLine="709"/>
        <w:jc w:val="both"/>
        <w:rPr>
          <w:rFonts w:asciiTheme="majorHAnsi" w:hAnsiTheme="majorHAnsi" w:cs="Calibri"/>
          <w:color w:val="000000"/>
          <w:sz w:val="24"/>
          <w:szCs w:val="24"/>
          <w:shd w:val="clear" w:color="auto" w:fill="FFFFFF"/>
        </w:rPr>
      </w:pPr>
      <w:r w:rsidRPr="00152678">
        <w:rPr>
          <w:rFonts w:asciiTheme="majorHAnsi" w:hAnsiTheme="majorHAnsi" w:cs="Calibri"/>
          <w:color w:val="000000"/>
          <w:sz w:val="24"/>
          <w:szCs w:val="24"/>
          <w:shd w:val="clear" w:color="auto" w:fill="FFFFFF"/>
        </w:rPr>
        <w:t>Corresponding to the Islamic Banking Statistics of the Financial Services Authority of 2021, the BOPO ratio for Islamic banking is roughly 80.46 percent, while the Net Marginal Income ratio is roughly 6 percent. On the basis of the specified data, it is viable that the ratio of BOPO to Net Marginal Income for Bank Syariah Indonesia in 2021 will be significantly lower than the performance reported by OJK for the previous year.</w:t>
      </w:r>
      <w:r w:rsidR="00160F65" w:rsidRPr="00160F65">
        <w:rPr>
          <w:rFonts w:asciiTheme="majorHAnsi" w:hAnsiTheme="majorHAnsi" w:cs="Calibri"/>
          <w:color w:val="000000"/>
          <w:sz w:val="24"/>
          <w:szCs w:val="24"/>
          <w:shd w:val="clear" w:color="auto" w:fill="FFFFFF"/>
        </w:rPr>
        <w:t xml:space="preserve"> </w:t>
      </w:r>
    </w:p>
    <w:p w14:paraId="469B767E" w14:textId="737F941C" w:rsidR="00160F65" w:rsidRDefault="00152678" w:rsidP="00152678">
      <w:pPr>
        <w:spacing w:after="0"/>
        <w:ind w:left="288" w:right="26" w:firstLine="709"/>
        <w:jc w:val="both"/>
        <w:rPr>
          <w:rFonts w:asciiTheme="majorHAnsi" w:hAnsiTheme="majorHAnsi" w:cs="Calibri"/>
          <w:color w:val="000000"/>
          <w:sz w:val="24"/>
          <w:szCs w:val="24"/>
          <w:shd w:val="clear" w:color="auto" w:fill="FFFFFF"/>
        </w:rPr>
      </w:pPr>
      <w:r w:rsidRPr="00152678">
        <w:rPr>
          <w:rFonts w:asciiTheme="majorHAnsi" w:hAnsiTheme="majorHAnsi" w:cs="Calibri"/>
          <w:color w:val="000000"/>
          <w:sz w:val="24"/>
          <w:szCs w:val="24"/>
          <w:shd w:val="clear" w:color="auto" w:fill="FFFFFF"/>
        </w:rPr>
        <w:t>The utilization of resources is deemed efficient if it serve: (1) all available resources are utilized efficiently; and (2) there is no alternative consumption pattern that would provide the community/ individual with additional welfare.</w:t>
      </w:r>
      <w:r w:rsidR="00BD340D">
        <w:rPr>
          <w:rStyle w:val="FootnoteReference"/>
          <w:rFonts w:asciiTheme="majorHAnsi" w:hAnsiTheme="majorHAnsi" w:cs="Calibri"/>
          <w:color w:val="000000"/>
          <w:sz w:val="24"/>
          <w:szCs w:val="24"/>
          <w:shd w:val="clear" w:color="auto" w:fill="FFFFFF"/>
        </w:rPr>
        <w:footnoteReference w:id="5"/>
      </w:r>
      <w:r w:rsidRPr="00152678">
        <w:rPr>
          <w:rFonts w:asciiTheme="majorHAnsi" w:hAnsiTheme="majorHAnsi" w:cs="Calibri"/>
          <w:color w:val="000000"/>
          <w:sz w:val="24"/>
          <w:szCs w:val="24"/>
          <w:shd w:val="clear" w:color="auto" w:fill="FFFFFF"/>
        </w:rPr>
        <w:t xml:space="preserve"> The fewer funds or resources are utilized to get the desired goal, the more efficient it is. Efficiency is the utilization of limited resources to produce what is planned or anticipated. An action is efficient if it proceeds without interruptions. The following factors are conditions for efficiency cause:</w:t>
      </w:r>
    </w:p>
    <w:p w14:paraId="70775CD6" w14:textId="5FA42E64" w:rsidR="00303489" w:rsidRPr="00303489" w:rsidRDefault="00303489" w:rsidP="00303489">
      <w:pPr>
        <w:pStyle w:val="ListParagraph"/>
        <w:numPr>
          <w:ilvl w:val="0"/>
          <w:numId w:val="43"/>
        </w:numPr>
        <w:spacing w:after="0"/>
        <w:ind w:left="648"/>
        <w:jc w:val="both"/>
        <w:rPr>
          <w:rFonts w:asciiTheme="majorHAnsi" w:hAnsiTheme="majorHAnsi" w:cs="Calibri"/>
          <w:color w:val="000000"/>
          <w:sz w:val="24"/>
          <w:szCs w:val="24"/>
          <w:shd w:val="clear" w:color="auto" w:fill="FFFFFF"/>
          <w:lang w:val="id-ID"/>
        </w:rPr>
      </w:pPr>
      <w:r w:rsidRPr="00303489">
        <w:rPr>
          <w:rFonts w:asciiTheme="majorHAnsi" w:hAnsiTheme="majorHAnsi" w:cs="Calibri"/>
          <w:color w:val="000000"/>
          <w:sz w:val="24"/>
          <w:szCs w:val="24"/>
          <w:shd w:val="clear" w:color="auto" w:fill="FFFFFF"/>
        </w:rPr>
        <w:t>Achieving results and benefits. For example, the intended items benefit society.</w:t>
      </w:r>
    </w:p>
    <w:p w14:paraId="3619FC10" w14:textId="212AE855" w:rsidR="00303489" w:rsidRPr="00303489" w:rsidRDefault="00303489" w:rsidP="00303489">
      <w:pPr>
        <w:pStyle w:val="ListParagraph"/>
        <w:numPr>
          <w:ilvl w:val="0"/>
          <w:numId w:val="43"/>
        </w:numPr>
        <w:spacing w:after="0"/>
        <w:ind w:left="648"/>
        <w:jc w:val="both"/>
        <w:rPr>
          <w:rFonts w:asciiTheme="majorHAnsi" w:hAnsiTheme="majorHAnsi" w:cs="Calibri"/>
          <w:color w:val="000000"/>
          <w:sz w:val="24"/>
          <w:szCs w:val="24"/>
          <w:shd w:val="clear" w:color="auto" w:fill="FFFFFF"/>
          <w:lang w:val="id-ID"/>
        </w:rPr>
      </w:pPr>
      <w:r w:rsidRPr="00303489">
        <w:rPr>
          <w:rFonts w:asciiTheme="majorHAnsi" w:hAnsiTheme="majorHAnsi" w:cs="Calibri"/>
          <w:color w:val="000000"/>
          <w:sz w:val="24"/>
          <w:szCs w:val="24"/>
          <w:shd w:val="clear" w:color="auto" w:fill="FFFFFF"/>
        </w:rPr>
        <w:t>Inexpensive, means with little effort leading to obtain high-quality feedback.</w:t>
      </w:r>
    </w:p>
    <w:p w14:paraId="0A99E51B" w14:textId="302148BA" w:rsidR="00303489" w:rsidRPr="00303489" w:rsidRDefault="00303489" w:rsidP="00303489">
      <w:pPr>
        <w:pStyle w:val="ListParagraph"/>
        <w:numPr>
          <w:ilvl w:val="0"/>
          <w:numId w:val="43"/>
        </w:numPr>
        <w:spacing w:after="0"/>
        <w:ind w:left="648"/>
        <w:jc w:val="both"/>
        <w:rPr>
          <w:rFonts w:asciiTheme="majorHAnsi" w:hAnsiTheme="majorHAnsi" w:cs="Calibri"/>
          <w:color w:val="000000"/>
          <w:sz w:val="24"/>
          <w:szCs w:val="24"/>
          <w:shd w:val="clear" w:color="auto" w:fill="FFFFFF"/>
          <w:lang w:val="id-ID"/>
        </w:rPr>
      </w:pPr>
      <w:r w:rsidRPr="00303489">
        <w:rPr>
          <w:rFonts w:asciiTheme="majorHAnsi" w:hAnsiTheme="majorHAnsi" w:cs="Calibri"/>
          <w:color w:val="000000"/>
          <w:sz w:val="24"/>
          <w:szCs w:val="24"/>
          <w:shd w:val="clear" w:color="auto" w:fill="FFFFFF"/>
        </w:rPr>
        <w:t>Appropriate labor division • Appropriate leadership and rationale</w:t>
      </w:r>
      <w:r>
        <w:rPr>
          <w:rFonts w:asciiTheme="majorHAnsi" w:hAnsiTheme="majorHAnsi" w:cs="Calibri"/>
          <w:color w:val="000000"/>
          <w:sz w:val="24"/>
          <w:szCs w:val="24"/>
          <w:shd w:val="clear" w:color="auto" w:fill="FFFFFF"/>
          <w:lang w:val="id-ID"/>
        </w:rPr>
        <w:t>.</w:t>
      </w:r>
    </w:p>
    <w:p w14:paraId="434ABDCD" w14:textId="4C7142EC" w:rsidR="00303489" w:rsidRPr="00303489" w:rsidRDefault="00303489" w:rsidP="00303489">
      <w:pPr>
        <w:pStyle w:val="ListParagraph"/>
        <w:numPr>
          <w:ilvl w:val="0"/>
          <w:numId w:val="43"/>
        </w:numPr>
        <w:spacing w:after="0"/>
        <w:ind w:left="648"/>
        <w:jc w:val="both"/>
        <w:rPr>
          <w:rFonts w:asciiTheme="majorHAnsi" w:hAnsiTheme="majorHAnsi" w:cs="Calibri"/>
          <w:color w:val="000000"/>
          <w:sz w:val="24"/>
          <w:szCs w:val="24"/>
          <w:shd w:val="clear" w:color="auto" w:fill="FFFFFF"/>
          <w:lang w:val="id-ID"/>
        </w:rPr>
      </w:pPr>
      <w:r w:rsidRPr="00303489">
        <w:rPr>
          <w:rFonts w:asciiTheme="majorHAnsi" w:hAnsiTheme="majorHAnsi" w:cs="Calibri"/>
          <w:color w:val="000000"/>
          <w:sz w:val="24"/>
          <w:szCs w:val="24"/>
          <w:shd w:val="clear" w:color="auto" w:fill="FFFFFF"/>
        </w:rPr>
        <w:t>Appropriate management execution</w:t>
      </w:r>
      <w:r>
        <w:rPr>
          <w:rFonts w:asciiTheme="majorHAnsi" w:hAnsiTheme="majorHAnsi" w:cs="Calibri"/>
          <w:color w:val="000000"/>
          <w:sz w:val="24"/>
          <w:szCs w:val="24"/>
          <w:shd w:val="clear" w:color="auto" w:fill="FFFFFF"/>
          <w:lang w:val="id-ID"/>
        </w:rPr>
        <w:t>.</w:t>
      </w:r>
    </w:p>
    <w:p w14:paraId="0D0D8BBB" w14:textId="08C0184F" w:rsidR="00303489" w:rsidRPr="00303489" w:rsidRDefault="00303489" w:rsidP="00303489">
      <w:pPr>
        <w:pStyle w:val="ListParagraph"/>
        <w:numPr>
          <w:ilvl w:val="0"/>
          <w:numId w:val="43"/>
        </w:numPr>
        <w:spacing w:after="0"/>
        <w:ind w:left="648"/>
        <w:jc w:val="both"/>
        <w:rPr>
          <w:rFonts w:asciiTheme="majorHAnsi" w:hAnsiTheme="majorHAnsi" w:cs="Calibri"/>
          <w:color w:val="000000"/>
          <w:sz w:val="24"/>
          <w:szCs w:val="24"/>
          <w:shd w:val="clear" w:color="auto" w:fill="FFFFFF"/>
          <w:lang w:val="id-ID"/>
        </w:rPr>
      </w:pPr>
      <w:r w:rsidRPr="00303489">
        <w:rPr>
          <w:rFonts w:asciiTheme="majorHAnsi" w:hAnsiTheme="majorHAnsi" w:cs="Calibri"/>
          <w:color w:val="000000"/>
          <w:sz w:val="24"/>
          <w:szCs w:val="24"/>
          <w:shd w:val="clear" w:color="auto" w:fill="FFFFFF"/>
        </w:rPr>
        <w:t>Mechanisms or processes that can automatically adjust to changing situations</w:t>
      </w:r>
      <w:r>
        <w:rPr>
          <w:rFonts w:asciiTheme="majorHAnsi" w:hAnsiTheme="majorHAnsi" w:cs="Calibri"/>
          <w:color w:val="000000"/>
          <w:sz w:val="24"/>
          <w:szCs w:val="24"/>
          <w:shd w:val="clear" w:color="auto" w:fill="FFFFFF"/>
          <w:lang w:val="id-ID"/>
        </w:rPr>
        <w:t>.</w:t>
      </w:r>
    </w:p>
    <w:p w14:paraId="01C48E6D" w14:textId="0D8D81FA" w:rsidR="00303489" w:rsidRPr="00303489" w:rsidRDefault="00303489" w:rsidP="00303489">
      <w:pPr>
        <w:pStyle w:val="ListParagraph"/>
        <w:numPr>
          <w:ilvl w:val="0"/>
          <w:numId w:val="43"/>
        </w:numPr>
        <w:spacing w:after="0"/>
        <w:ind w:left="648"/>
        <w:jc w:val="both"/>
        <w:rPr>
          <w:rFonts w:asciiTheme="majorHAnsi" w:hAnsiTheme="majorHAnsi" w:cs="Calibri"/>
          <w:color w:val="000000"/>
          <w:sz w:val="24"/>
          <w:szCs w:val="24"/>
          <w:shd w:val="clear" w:color="auto" w:fill="FFFFFF"/>
          <w:lang w:val="id-ID"/>
        </w:rPr>
      </w:pPr>
      <w:r w:rsidRPr="00303489">
        <w:rPr>
          <w:rFonts w:asciiTheme="majorHAnsi" w:hAnsiTheme="majorHAnsi" w:cs="Calibri"/>
          <w:color w:val="000000"/>
          <w:sz w:val="24"/>
          <w:szCs w:val="24"/>
          <w:shd w:val="clear" w:color="auto" w:fill="FFFFFF"/>
        </w:rPr>
        <w:t>Using interchangeable customized tools • Simple work processes</w:t>
      </w:r>
      <w:r>
        <w:rPr>
          <w:rFonts w:asciiTheme="majorHAnsi" w:hAnsiTheme="majorHAnsi" w:cs="Calibri"/>
          <w:color w:val="000000"/>
          <w:sz w:val="24"/>
          <w:szCs w:val="24"/>
          <w:shd w:val="clear" w:color="auto" w:fill="FFFFFF"/>
          <w:lang w:val="id-ID"/>
        </w:rPr>
        <w:t>.</w:t>
      </w:r>
    </w:p>
    <w:p w14:paraId="1A99F90E" w14:textId="503DBDFE" w:rsidR="00160F65" w:rsidRPr="00160F65" w:rsidRDefault="00152678" w:rsidP="00152678">
      <w:pPr>
        <w:spacing w:after="0"/>
        <w:ind w:left="288" w:right="26" w:firstLine="709"/>
        <w:jc w:val="both"/>
        <w:rPr>
          <w:rFonts w:asciiTheme="majorHAnsi" w:hAnsiTheme="majorHAnsi" w:cs="Calibri"/>
          <w:color w:val="000000"/>
          <w:sz w:val="24"/>
          <w:szCs w:val="24"/>
          <w:shd w:val="clear" w:color="auto" w:fill="FFFFFF"/>
        </w:rPr>
      </w:pPr>
      <w:r w:rsidRPr="00152678">
        <w:rPr>
          <w:rFonts w:asciiTheme="majorHAnsi" w:hAnsiTheme="majorHAnsi" w:cs="Calibri"/>
          <w:color w:val="000000"/>
          <w:sz w:val="24"/>
          <w:szCs w:val="24"/>
          <w:shd w:val="clear" w:color="auto" w:fill="FFFFFF"/>
        </w:rPr>
        <w:t xml:space="preserve">Bank efficiency is a fundamental measure for assessing bank institutions performance. Efficiency can be viewed from two perspectives: cost and profit. Bank efficiency is a critical indicator in the banking industry as well </w:t>
      </w:r>
      <w:r w:rsidRPr="00152678">
        <w:rPr>
          <w:rFonts w:asciiTheme="majorHAnsi" w:hAnsiTheme="majorHAnsi" w:cs="Calibri"/>
          <w:color w:val="000000"/>
          <w:sz w:val="24"/>
          <w:szCs w:val="24"/>
          <w:shd w:val="clear" w:color="auto" w:fill="FFFFFF"/>
        </w:rPr>
        <w:lastRenderedPageBreak/>
        <w:t>as a way to enhance the effectiveness of monetary policy. Efficient banking is expected to boost the transformed of monetary policy, allowing it to achieve its objectives more effectively: Efforts to increase the financial sector's efficiency and soundness are commonly required to support macroeconomic and monetary performance.</w:t>
      </w:r>
    </w:p>
    <w:p w14:paraId="023E1090" w14:textId="69EEAED0" w:rsidR="00D43BB9" w:rsidRDefault="00DA6317" w:rsidP="00DA6317">
      <w:pPr>
        <w:spacing w:after="0"/>
        <w:ind w:left="288" w:right="26" w:firstLine="709"/>
        <w:jc w:val="both"/>
        <w:rPr>
          <w:rFonts w:asciiTheme="majorHAnsi" w:hAnsiTheme="majorHAnsi" w:cs="Calibri"/>
          <w:color w:val="000000"/>
          <w:sz w:val="24"/>
          <w:szCs w:val="24"/>
          <w:shd w:val="clear" w:color="auto" w:fill="FFFFFF"/>
        </w:rPr>
      </w:pPr>
      <w:r w:rsidRPr="00DA6317">
        <w:rPr>
          <w:rFonts w:asciiTheme="majorHAnsi" w:hAnsiTheme="majorHAnsi" w:cs="Calibri"/>
          <w:color w:val="000000"/>
          <w:sz w:val="24"/>
          <w:szCs w:val="24"/>
          <w:shd w:val="clear" w:color="auto" w:fill="FFFFFF"/>
        </w:rPr>
        <w:t>Purposedly for the determination against tough competition, Islamic banking needs reliable metrics in addition to the efficiency function to measure the value of performance despite many analytical tools. It is believed that there is a need for additional analytical tools from the value of worshipping God in addition to increasing spiritual values and receiving benefits in lifespan context. Therefore, in all facets of life, including the economics, worshipping God is a foreseeable process. According to the Qur'an, Surah Adz-Dzariyat [51]: 56 states:</w:t>
      </w:r>
    </w:p>
    <w:p w14:paraId="524DC6F0" w14:textId="77777777" w:rsidR="00DA6317" w:rsidRPr="00DA6317" w:rsidRDefault="00DA6317" w:rsidP="00DA6317">
      <w:pPr>
        <w:spacing w:after="0"/>
        <w:ind w:left="288" w:right="26" w:firstLine="709"/>
        <w:jc w:val="right"/>
        <w:rPr>
          <w:rFonts w:ascii="Traditional Arabic" w:hAnsi="Traditional Arabic" w:cs="Traditional Arabic"/>
          <w:color w:val="000000"/>
          <w:sz w:val="32"/>
          <w:szCs w:val="32"/>
          <w:shd w:val="clear" w:color="auto" w:fill="FFFFFF"/>
        </w:rPr>
      </w:pPr>
      <w:r w:rsidRPr="00DA6317">
        <w:rPr>
          <w:rFonts w:ascii="Traditional Arabic" w:hAnsi="Traditional Arabic" w:cs="Traditional Arabic"/>
          <w:color w:val="000000"/>
          <w:sz w:val="32"/>
          <w:szCs w:val="32"/>
          <w:shd w:val="clear" w:color="auto" w:fill="FFFFFF"/>
          <w:rtl/>
        </w:rPr>
        <w:t>وما خلقت الجن والإنس إلا ليعبدون</w:t>
      </w:r>
    </w:p>
    <w:p w14:paraId="35532D50" w14:textId="4FBA05AB" w:rsidR="00DA6317" w:rsidRDefault="00DA6317" w:rsidP="00DA6317">
      <w:pPr>
        <w:spacing w:after="0"/>
        <w:ind w:left="288" w:right="26" w:firstLine="709"/>
        <w:jc w:val="both"/>
        <w:rPr>
          <w:rFonts w:asciiTheme="majorHAnsi" w:hAnsiTheme="majorHAnsi" w:cs="Calibri"/>
          <w:color w:val="000000"/>
          <w:sz w:val="24"/>
          <w:szCs w:val="24"/>
          <w:shd w:val="clear" w:color="auto" w:fill="FFFFFF"/>
          <w:lang w:val="id-ID"/>
        </w:rPr>
      </w:pPr>
      <w:r w:rsidRPr="00DA6317">
        <w:rPr>
          <w:rFonts w:asciiTheme="majorHAnsi" w:hAnsiTheme="majorHAnsi" w:cs="Calibri"/>
          <w:color w:val="000000"/>
          <w:sz w:val="24"/>
          <w:szCs w:val="24"/>
          <w:shd w:val="clear" w:color="auto" w:fill="FFFFFF"/>
        </w:rPr>
        <w:t>Meaning:</w:t>
      </w:r>
      <w:r w:rsidRPr="00DA6317">
        <w:rPr>
          <w:rFonts w:asciiTheme="majorHAnsi" w:hAnsiTheme="majorHAnsi" w:cs="Calibri"/>
          <w:i/>
          <w:iCs/>
          <w:color w:val="000000"/>
          <w:sz w:val="24"/>
          <w:szCs w:val="24"/>
          <w:shd w:val="clear" w:color="auto" w:fill="FFFFFF"/>
        </w:rPr>
        <w:t xml:space="preserve"> And I did </w:t>
      </w:r>
      <w:r w:rsidRPr="00DA6317">
        <w:rPr>
          <w:rFonts w:asciiTheme="majorHAnsi" w:hAnsiTheme="majorHAnsi" w:cs="Calibri"/>
          <w:color w:val="000000"/>
          <w:sz w:val="24"/>
          <w:szCs w:val="24"/>
          <w:shd w:val="clear" w:color="auto" w:fill="FFFFFF"/>
        </w:rPr>
        <w:t>not</w:t>
      </w:r>
      <w:r w:rsidRPr="00DA6317">
        <w:rPr>
          <w:rFonts w:asciiTheme="majorHAnsi" w:hAnsiTheme="majorHAnsi" w:cs="Calibri"/>
          <w:i/>
          <w:iCs/>
          <w:color w:val="000000"/>
          <w:sz w:val="24"/>
          <w:szCs w:val="24"/>
          <w:shd w:val="clear" w:color="auto" w:fill="FFFFFF"/>
        </w:rPr>
        <w:t xml:space="preserve"> create the jinn and mankind except for worship</w:t>
      </w:r>
      <w:r>
        <w:rPr>
          <w:rFonts w:asciiTheme="majorHAnsi" w:hAnsiTheme="majorHAnsi" w:cs="Calibri"/>
          <w:color w:val="000000"/>
          <w:sz w:val="24"/>
          <w:szCs w:val="24"/>
          <w:shd w:val="clear" w:color="auto" w:fill="FFFFFF"/>
          <w:lang w:val="id-ID"/>
        </w:rPr>
        <w:t>.</w:t>
      </w:r>
    </w:p>
    <w:p w14:paraId="4FAD8AFE" w14:textId="77777777" w:rsidR="00DA6317" w:rsidRPr="00DA6317" w:rsidRDefault="00DA6317" w:rsidP="00DA6317">
      <w:pPr>
        <w:spacing w:after="0"/>
        <w:ind w:left="288" w:right="26" w:firstLine="709"/>
        <w:jc w:val="both"/>
        <w:rPr>
          <w:rFonts w:asciiTheme="majorHAnsi" w:hAnsiTheme="majorHAnsi" w:cs="Calibri"/>
          <w:color w:val="000000"/>
          <w:sz w:val="24"/>
          <w:szCs w:val="24"/>
          <w:shd w:val="clear" w:color="auto" w:fill="FFFFFF"/>
          <w:lang w:val="id-ID"/>
        </w:rPr>
      </w:pPr>
    </w:p>
    <w:p w14:paraId="0379336A" w14:textId="2B8B9DB7" w:rsidR="00D43BB9" w:rsidRDefault="00DA6317" w:rsidP="00DA6317">
      <w:pPr>
        <w:spacing w:after="0"/>
        <w:ind w:left="288" w:right="26" w:firstLine="709"/>
        <w:jc w:val="both"/>
        <w:rPr>
          <w:rFonts w:asciiTheme="majorHAnsi" w:hAnsiTheme="majorHAnsi" w:cs="Calibri"/>
          <w:color w:val="000000"/>
          <w:sz w:val="24"/>
          <w:szCs w:val="24"/>
          <w:shd w:val="clear" w:color="auto" w:fill="FFFFFF"/>
        </w:rPr>
      </w:pPr>
      <w:r w:rsidRPr="00DA6317">
        <w:rPr>
          <w:rFonts w:asciiTheme="majorHAnsi" w:hAnsiTheme="majorHAnsi" w:cs="Calibri"/>
          <w:color w:val="000000"/>
          <w:sz w:val="24"/>
          <w:szCs w:val="24"/>
          <w:shd w:val="clear" w:color="auto" w:fill="FFFFFF"/>
        </w:rPr>
        <w:t>As it stands, most research methods take a linear, reductionist approach creating separation between scientific inquiry and religious observance. Muslims scholars in the modern era committing a great deal of time to analyzing the relevance of worship from an Islamic perspective. However, today's analytical techniques still require the integration of religion so that the objective of economic analysis gives dual benefits, namely the world realm and the hereafter.</w:t>
      </w:r>
      <w:r w:rsidR="00D07314">
        <w:rPr>
          <w:rStyle w:val="FootnoteReference"/>
          <w:rFonts w:asciiTheme="majorHAnsi" w:hAnsiTheme="majorHAnsi" w:cs="Calibri"/>
          <w:color w:val="000000"/>
          <w:sz w:val="24"/>
          <w:szCs w:val="24"/>
          <w:shd w:val="clear" w:color="auto" w:fill="FFFFFF"/>
        </w:rPr>
        <w:footnoteReference w:id="6"/>
      </w:r>
    </w:p>
    <w:p w14:paraId="310853EA" w14:textId="3C80771D" w:rsidR="00D11B68" w:rsidRDefault="00D11B68" w:rsidP="00E91FC1">
      <w:pPr>
        <w:spacing w:after="0"/>
        <w:ind w:left="288" w:right="26" w:firstLine="709"/>
        <w:jc w:val="both"/>
        <w:rPr>
          <w:rFonts w:asciiTheme="majorHAnsi" w:hAnsiTheme="majorHAnsi" w:cs="Calibri"/>
          <w:color w:val="000000"/>
          <w:sz w:val="24"/>
          <w:szCs w:val="24"/>
          <w:shd w:val="clear" w:color="auto" w:fill="FFFFFF"/>
        </w:rPr>
      </w:pPr>
      <w:r w:rsidRPr="00D11B68">
        <w:rPr>
          <w:rFonts w:asciiTheme="majorHAnsi" w:hAnsiTheme="majorHAnsi" w:cs="Calibri"/>
          <w:color w:val="000000"/>
          <w:sz w:val="24"/>
          <w:szCs w:val="24"/>
          <w:shd w:val="clear" w:color="auto" w:fill="FFFFFF"/>
        </w:rPr>
        <w:t>Worshiping God is a natural process in all aspects of human life as well as the economy factor. Allah emphasized that the meaning of worship must be in creation. In modern time, economics solely copied Western analytical tools such as linear programming and multiple regression. The possibility that this analytical tool has no religious value stems from the fact that it was created by westerners by omitting the religious factor in science. In turn, Muslim researchers should be encouraged to change the concept of analytical tools by utilizing Islamic thought models, to provide benchmarks consistent with Islamic values.Concept of Islamic economic analysis tools gained praise from various sources. Some started with the philosophy of monotheism, some started from the perspective of a problem, and some studied the meaning of worship. The point of view of worship is used in theory H which stands for HAHSLM. According to Aziz, the meaning of theory H from the word HAHSLM is:</w:t>
      </w:r>
      <w:r w:rsidR="009B74C3">
        <w:rPr>
          <w:rStyle w:val="FootnoteReference"/>
          <w:rFonts w:asciiTheme="majorHAnsi" w:hAnsiTheme="majorHAnsi" w:cs="Calibri"/>
          <w:color w:val="000000"/>
          <w:sz w:val="24"/>
          <w:szCs w:val="24"/>
          <w:shd w:val="clear" w:color="auto" w:fill="FFFFFF"/>
        </w:rPr>
        <w:footnoteReference w:id="7"/>
      </w:r>
    </w:p>
    <w:p w14:paraId="0F1B3D55" w14:textId="3AA1A2C8" w:rsidR="00160F65" w:rsidRPr="00E91FC1" w:rsidRDefault="00E91FC1" w:rsidP="00E91FC1">
      <w:pPr>
        <w:pStyle w:val="ListParagraph"/>
        <w:numPr>
          <w:ilvl w:val="0"/>
          <w:numId w:val="44"/>
        </w:numPr>
        <w:spacing w:after="0"/>
        <w:ind w:right="26"/>
        <w:jc w:val="both"/>
        <w:rPr>
          <w:rFonts w:asciiTheme="majorHAnsi" w:hAnsiTheme="majorHAnsi" w:cs="Calibri"/>
          <w:color w:val="000000"/>
          <w:sz w:val="24"/>
          <w:szCs w:val="24"/>
          <w:shd w:val="clear" w:color="auto" w:fill="FFFFFF"/>
          <w:lang w:val="id-ID"/>
        </w:rPr>
      </w:pPr>
      <w:r w:rsidRPr="00E91FC1">
        <w:rPr>
          <w:rFonts w:asciiTheme="majorHAnsi" w:hAnsiTheme="majorHAnsi" w:cs="Calibri"/>
          <w:color w:val="000000"/>
          <w:sz w:val="24"/>
          <w:szCs w:val="24"/>
          <w:shd w:val="clear" w:color="auto" w:fill="FFFFFF"/>
        </w:rPr>
        <w:lastRenderedPageBreak/>
        <w:t>The basis of the three dominant theories with a certain context in the five dimensions of the invariant arrangement is defined as the theory H.</w:t>
      </w:r>
    </w:p>
    <w:p w14:paraId="0E8D8AA2" w14:textId="4FD7C27D" w:rsidR="00E91FC1" w:rsidRPr="00E91FC1" w:rsidRDefault="00E91FC1" w:rsidP="00E91FC1">
      <w:pPr>
        <w:pStyle w:val="ListParagraph"/>
        <w:numPr>
          <w:ilvl w:val="0"/>
          <w:numId w:val="44"/>
        </w:numPr>
        <w:spacing w:after="0"/>
        <w:ind w:right="26"/>
        <w:jc w:val="both"/>
        <w:rPr>
          <w:rFonts w:asciiTheme="majorHAnsi" w:hAnsiTheme="majorHAnsi" w:cs="Calibri"/>
          <w:color w:val="000000"/>
          <w:sz w:val="24"/>
          <w:szCs w:val="24"/>
          <w:shd w:val="clear" w:color="auto" w:fill="FFFFFF"/>
          <w:lang w:val="id-ID"/>
        </w:rPr>
      </w:pPr>
      <w:r w:rsidRPr="00E91FC1">
        <w:rPr>
          <w:rFonts w:asciiTheme="majorHAnsi" w:hAnsiTheme="majorHAnsi" w:cs="Calibri"/>
          <w:color w:val="000000"/>
          <w:sz w:val="24"/>
          <w:szCs w:val="24"/>
          <w:shd w:val="clear" w:color="auto" w:fill="FFFFFF"/>
        </w:rPr>
        <w:t>While the following is the definition of theory H:</w:t>
      </w:r>
    </w:p>
    <w:p w14:paraId="53130C09" w14:textId="5AB53FF7" w:rsidR="00E91FC1" w:rsidRPr="00E91FC1" w:rsidRDefault="00E91FC1" w:rsidP="00E91FC1">
      <w:pPr>
        <w:pStyle w:val="ListParagraph"/>
        <w:numPr>
          <w:ilvl w:val="0"/>
          <w:numId w:val="44"/>
        </w:numPr>
        <w:spacing w:after="0"/>
        <w:ind w:right="26"/>
        <w:jc w:val="both"/>
        <w:rPr>
          <w:rFonts w:asciiTheme="majorHAnsi" w:hAnsiTheme="majorHAnsi" w:cs="Calibri"/>
          <w:color w:val="000000"/>
          <w:sz w:val="24"/>
          <w:szCs w:val="24"/>
          <w:shd w:val="clear" w:color="auto" w:fill="FFFFFF"/>
          <w:lang w:val="id-ID"/>
        </w:rPr>
      </w:pPr>
      <w:r w:rsidRPr="00E91FC1">
        <w:rPr>
          <w:rFonts w:asciiTheme="majorHAnsi" w:hAnsiTheme="majorHAnsi" w:cs="Calibri"/>
          <w:color w:val="000000"/>
          <w:sz w:val="24"/>
          <w:szCs w:val="24"/>
          <w:shd w:val="clear" w:color="auto" w:fill="FFFFFF"/>
        </w:rPr>
        <w:t>The most common application of theory H is a theory of the basic concepts of creating patterns with certain relationships. H is derived from the formula H=A. H(S,L,M). Surah Hijr in the Qur'an also stands for Huda or Life.</w:t>
      </w:r>
    </w:p>
    <w:p w14:paraId="6E0759E1" w14:textId="67963103" w:rsidR="00E91FC1" w:rsidRPr="00E91FC1" w:rsidRDefault="00E91FC1" w:rsidP="00E91FC1">
      <w:pPr>
        <w:pStyle w:val="ListParagraph"/>
        <w:numPr>
          <w:ilvl w:val="0"/>
          <w:numId w:val="44"/>
        </w:numPr>
        <w:spacing w:after="0"/>
        <w:ind w:right="26"/>
        <w:jc w:val="both"/>
        <w:rPr>
          <w:rFonts w:asciiTheme="majorHAnsi" w:hAnsiTheme="majorHAnsi" w:cs="Calibri"/>
          <w:color w:val="000000"/>
          <w:sz w:val="24"/>
          <w:szCs w:val="24"/>
          <w:shd w:val="clear" w:color="auto" w:fill="FFFFFF"/>
          <w:lang w:val="id-ID"/>
        </w:rPr>
      </w:pPr>
      <w:r w:rsidRPr="00E91FC1">
        <w:rPr>
          <w:rFonts w:asciiTheme="majorHAnsi" w:hAnsiTheme="majorHAnsi" w:cs="Calibri"/>
          <w:color w:val="000000"/>
          <w:sz w:val="24"/>
          <w:szCs w:val="24"/>
          <w:shd w:val="clear" w:color="auto" w:fill="FFFFFF"/>
        </w:rPr>
        <w:t>A complete set or integrated part will have three (three) main elements that can be positively charged: primary (creator), secondary (creator/receiver), and tertiary (worship/transmitter).</w:t>
      </w:r>
    </w:p>
    <w:p w14:paraId="33A7D49C" w14:textId="387BCD4A" w:rsidR="00E91FC1" w:rsidRPr="00E91FC1" w:rsidRDefault="00E91FC1" w:rsidP="00E91FC1">
      <w:pPr>
        <w:pStyle w:val="ListParagraph"/>
        <w:numPr>
          <w:ilvl w:val="0"/>
          <w:numId w:val="44"/>
        </w:numPr>
        <w:spacing w:after="0"/>
        <w:ind w:right="26"/>
        <w:jc w:val="both"/>
        <w:rPr>
          <w:rFonts w:asciiTheme="majorHAnsi" w:hAnsiTheme="majorHAnsi" w:cs="Calibri"/>
          <w:color w:val="000000"/>
          <w:sz w:val="24"/>
          <w:szCs w:val="24"/>
          <w:shd w:val="clear" w:color="auto" w:fill="FFFFFF"/>
          <w:lang w:val="id-ID"/>
        </w:rPr>
      </w:pPr>
      <w:r w:rsidRPr="00E91FC1">
        <w:rPr>
          <w:rFonts w:asciiTheme="majorHAnsi" w:hAnsiTheme="majorHAnsi" w:cs="Calibri"/>
          <w:color w:val="000000"/>
          <w:sz w:val="24"/>
          <w:szCs w:val="24"/>
          <w:shd w:val="clear" w:color="auto" w:fill="FFFFFF"/>
        </w:rPr>
        <w:t>These three elements will fulfill the statement that the secondary will do tertiary work under the primary (humans were created by God to worship).</w:t>
      </w:r>
    </w:p>
    <w:p w14:paraId="2FFF92CC" w14:textId="386A58DC" w:rsidR="00E91FC1" w:rsidRPr="00E91FC1" w:rsidRDefault="00E91FC1" w:rsidP="00E91FC1">
      <w:pPr>
        <w:pStyle w:val="ListParagraph"/>
        <w:numPr>
          <w:ilvl w:val="0"/>
          <w:numId w:val="44"/>
        </w:numPr>
        <w:spacing w:after="0"/>
        <w:ind w:right="26"/>
        <w:jc w:val="both"/>
        <w:rPr>
          <w:rFonts w:asciiTheme="majorHAnsi" w:hAnsiTheme="majorHAnsi" w:cs="Calibri"/>
          <w:color w:val="000000"/>
          <w:sz w:val="24"/>
          <w:szCs w:val="24"/>
          <w:shd w:val="clear" w:color="auto" w:fill="FFFFFF"/>
          <w:lang w:val="id-ID"/>
        </w:rPr>
      </w:pPr>
      <w:r w:rsidRPr="00E91FC1">
        <w:rPr>
          <w:rFonts w:asciiTheme="majorHAnsi" w:hAnsiTheme="majorHAnsi" w:cs="Calibri"/>
          <w:color w:val="000000"/>
          <w:sz w:val="24"/>
          <w:szCs w:val="24"/>
          <w:shd w:val="clear" w:color="auto" w:fill="FFFFFF"/>
        </w:rPr>
        <w:t>Theory H philosophy can be interpreted as Islamic values, with concepts related to worship and life.</w:t>
      </w:r>
    </w:p>
    <w:p w14:paraId="230CA532" w14:textId="77777777" w:rsidR="00160F65" w:rsidRDefault="00160F65" w:rsidP="00133472">
      <w:pPr>
        <w:spacing w:after="0"/>
        <w:ind w:left="288" w:right="26"/>
        <w:jc w:val="both"/>
        <w:rPr>
          <w:rFonts w:asciiTheme="majorHAnsi" w:hAnsiTheme="majorHAnsi" w:cs="Calibri"/>
          <w:color w:val="000000"/>
          <w:sz w:val="24"/>
          <w:szCs w:val="24"/>
          <w:shd w:val="clear" w:color="auto" w:fill="FFFFFF"/>
        </w:rPr>
      </w:pPr>
    </w:p>
    <w:p w14:paraId="3A9F2391" w14:textId="56F43F91" w:rsidR="00E91FC1" w:rsidRDefault="00E91FC1" w:rsidP="00E91FC1">
      <w:pPr>
        <w:spacing w:after="0"/>
        <w:ind w:left="288" w:right="26"/>
        <w:jc w:val="both"/>
        <w:rPr>
          <w:rFonts w:asciiTheme="majorHAnsi" w:hAnsiTheme="majorHAnsi" w:cs="Calibri"/>
          <w:b/>
          <w:bCs/>
          <w:color w:val="000000"/>
          <w:sz w:val="24"/>
          <w:szCs w:val="24"/>
          <w:shd w:val="clear" w:color="auto" w:fill="FFFFFF"/>
        </w:rPr>
      </w:pPr>
      <w:r w:rsidRPr="00E91FC1">
        <w:rPr>
          <w:rFonts w:asciiTheme="majorHAnsi" w:hAnsiTheme="majorHAnsi" w:cs="Calibri"/>
          <w:b/>
          <w:bCs/>
          <w:color w:val="000000"/>
          <w:sz w:val="24"/>
          <w:szCs w:val="24"/>
          <w:shd w:val="clear" w:color="auto" w:fill="FFFFFF"/>
        </w:rPr>
        <w:t>THEORY</w:t>
      </w:r>
    </w:p>
    <w:p w14:paraId="359CCA56" w14:textId="7CF31B40" w:rsidR="00E91FC1" w:rsidRDefault="00E91FC1" w:rsidP="00E91FC1">
      <w:pPr>
        <w:spacing w:after="0"/>
        <w:ind w:left="288" w:firstLine="720"/>
        <w:jc w:val="both"/>
        <w:rPr>
          <w:rFonts w:asciiTheme="majorHAnsi" w:hAnsiTheme="majorHAnsi" w:cs="Calibri"/>
          <w:color w:val="000000"/>
          <w:sz w:val="24"/>
          <w:szCs w:val="24"/>
          <w:shd w:val="clear" w:color="auto" w:fill="FFFFFF"/>
        </w:rPr>
      </w:pPr>
      <w:r w:rsidRPr="00E91FC1">
        <w:rPr>
          <w:rFonts w:asciiTheme="majorHAnsi" w:hAnsiTheme="majorHAnsi" w:cs="Calibri"/>
          <w:color w:val="000000"/>
          <w:sz w:val="24"/>
          <w:szCs w:val="24"/>
          <w:shd w:val="clear" w:color="auto" w:fill="FFFFFF"/>
        </w:rPr>
        <w:t>Concepts in Islamic economic analysis tools have received praise from various sources. Some started with the philosophy of monotheism, some started from the perspective of maslahah, and some studied the meaning of worship. The point of view of worship is used in theory H which stands for HAHSLM. According to Aziz, the meaning of theory H from the word HAHSLM is:</w:t>
      </w:r>
      <w:r w:rsidR="001265A8">
        <w:rPr>
          <w:rStyle w:val="FootnoteReference"/>
          <w:rFonts w:asciiTheme="majorHAnsi" w:hAnsiTheme="majorHAnsi" w:cs="Calibri"/>
          <w:color w:val="000000"/>
          <w:sz w:val="24"/>
          <w:szCs w:val="24"/>
          <w:shd w:val="clear" w:color="auto" w:fill="FFFFFF"/>
        </w:rPr>
        <w:footnoteReference w:id="8"/>
      </w:r>
    </w:p>
    <w:p w14:paraId="70D28CCA" w14:textId="0B4708D0" w:rsidR="00E91FC1" w:rsidRPr="00E91FC1" w:rsidRDefault="00E91FC1" w:rsidP="00E91FC1">
      <w:pPr>
        <w:pStyle w:val="ListParagraph"/>
        <w:numPr>
          <w:ilvl w:val="0"/>
          <w:numId w:val="45"/>
        </w:numPr>
        <w:spacing w:after="0"/>
        <w:jc w:val="both"/>
        <w:rPr>
          <w:rFonts w:asciiTheme="majorHAnsi" w:hAnsiTheme="majorHAnsi" w:cs="Calibri"/>
          <w:color w:val="000000"/>
          <w:sz w:val="24"/>
          <w:szCs w:val="24"/>
          <w:shd w:val="clear" w:color="auto" w:fill="FFFFFF"/>
          <w:lang w:val="id-ID"/>
        </w:rPr>
      </w:pPr>
      <w:r w:rsidRPr="00E91FC1">
        <w:rPr>
          <w:rFonts w:asciiTheme="majorHAnsi" w:hAnsiTheme="majorHAnsi" w:cs="Calibri"/>
          <w:color w:val="000000"/>
          <w:sz w:val="24"/>
          <w:szCs w:val="24"/>
          <w:shd w:val="clear" w:color="auto" w:fill="FFFFFF"/>
        </w:rPr>
        <w:t>The basis of the three dominant theories with a certain context in the five dimensions of the invariant arrangement is defined as the theory H.</w:t>
      </w:r>
    </w:p>
    <w:p w14:paraId="3FCB878E" w14:textId="1045FBED" w:rsidR="00E91FC1" w:rsidRPr="00E91FC1" w:rsidRDefault="00E91FC1" w:rsidP="00E91FC1">
      <w:pPr>
        <w:pStyle w:val="ListParagraph"/>
        <w:numPr>
          <w:ilvl w:val="0"/>
          <w:numId w:val="45"/>
        </w:numPr>
        <w:spacing w:after="0"/>
        <w:jc w:val="both"/>
        <w:rPr>
          <w:rFonts w:asciiTheme="majorHAnsi" w:hAnsiTheme="majorHAnsi" w:cs="Calibri"/>
          <w:color w:val="000000"/>
          <w:sz w:val="24"/>
          <w:szCs w:val="24"/>
          <w:shd w:val="clear" w:color="auto" w:fill="FFFFFF"/>
          <w:lang w:val="id-ID"/>
        </w:rPr>
      </w:pPr>
      <w:r w:rsidRPr="00E91FC1">
        <w:rPr>
          <w:rFonts w:asciiTheme="majorHAnsi" w:hAnsiTheme="majorHAnsi" w:cs="Calibri"/>
          <w:color w:val="000000"/>
          <w:sz w:val="24"/>
          <w:szCs w:val="24"/>
          <w:shd w:val="clear" w:color="auto" w:fill="FFFFFF"/>
        </w:rPr>
        <w:t>The most common application of theory H is a theory of the basic concepts of creating patterns with certain relationships. H is derived from the formula H=A. H(S,L,M). Surah Hijr in the Qur'an also stands for Huda or Life</w:t>
      </w:r>
      <w:r w:rsidRPr="00E91FC1">
        <w:rPr>
          <w:rFonts w:asciiTheme="majorHAnsi" w:hAnsiTheme="majorHAnsi" w:cs="Calibri"/>
          <w:color w:val="000000"/>
          <w:sz w:val="24"/>
          <w:szCs w:val="24"/>
          <w:shd w:val="clear" w:color="auto" w:fill="FFFFFF"/>
          <w:lang w:val="id-ID"/>
        </w:rPr>
        <w:t>.</w:t>
      </w:r>
    </w:p>
    <w:p w14:paraId="2EF536D9" w14:textId="05213918" w:rsidR="00E91FC1" w:rsidRPr="00E91FC1" w:rsidRDefault="00E91FC1" w:rsidP="00E91FC1">
      <w:pPr>
        <w:pStyle w:val="ListParagraph"/>
        <w:numPr>
          <w:ilvl w:val="0"/>
          <w:numId w:val="45"/>
        </w:numPr>
        <w:spacing w:after="0"/>
        <w:jc w:val="both"/>
        <w:rPr>
          <w:rFonts w:asciiTheme="majorHAnsi" w:hAnsiTheme="majorHAnsi" w:cs="Calibri"/>
          <w:color w:val="000000"/>
          <w:sz w:val="24"/>
          <w:szCs w:val="24"/>
          <w:shd w:val="clear" w:color="auto" w:fill="FFFFFF"/>
          <w:lang w:val="id-ID"/>
        </w:rPr>
      </w:pPr>
      <w:r w:rsidRPr="00E91FC1">
        <w:rPr>
          <w:rFonts w:asciiTheme="majorHAnsi" w:hAnsiTheme="majorHAnsi" w:cs="Calibri"/>
          <w:color w:val="000000"/>
          <w:sz w:val="24"/>
          <w:szCs w:val="24"/>
          <w:shd w:val="clear" w:color="auto" w:fill="FFFFFF"/>
        </w:rPr>
        <w:t>While the following is the definition of theory H</w:t>
      </w:r>
      <w:r w:rsidR="001265A8">
        <w:rPr>
          <w:rFonts w:asciiTheme="majorHAnsi" w:hAnsiTheme="majorHAnsi" w:cs="Calibri"/>
          <w:color w:val="000000"/>
          <w:sz w:val="24"/>
          <w:szCs w:val="24"/>
          <w:shd w:val="clear" w:color="auto" w:fill="FFFFFF"/>
        </w:rPr>
        <w:t>.</w:t>
      </w:r>
    </w:p>
    <w:p w14:paraId="4644EF4F" w14:textId="6AC36495" w:rsidR="00E91FC1" w:rsidRPr="00E91FC1" w:rsidRDefault="00E91FC1" w:rsidP="00E91FC1">
      <w:pPr>
        <w:pStyle w:val="ListParagraph"/>
        <w:numPr>
          <w:ilvl w:val="0"/>
          <w:numId w:val="45"/>
        </w:numPr>
        <w:spacing w:after="0"/>
        <w:jc w:val="both"/>
        <w:rPr>
          <w:rFonts w:asciiTheme="majorHAnsi" w:hAnsiTheme="majorHAnsi" w:cs="Calibri"/>
          <w:color w:val="000000"/>
          <w:sz w:val="24"/>
          <w:szCs w:val="24"/>
          <w:shd w:val="clear" w:color="auto" w:fill="FFFFFF"/>
          <w:lang w:val="id-ID"/>
        </w:rPr>
      </w:pPr>
      <w:r w:rsidRPr="00E91FC1">
        <w:rPr>
          <w:rFonts w:asciiTheme="majorHAnsi" w:hAnsiTheme="majorHAnsi" w:cs="Calibri"/>
          <w:color w:val="000000"/>
          <w:sz w:val="24"/>
          <w:szCs w:val="24"/>
          <w:shd w:val="clear" w:color="auto" w:fill="FFFFFF"/>
        </w:rPr>
        <w:t>A complete set of the integrated part will have three (three) main elements which can be positively charged: primary (creator), secondary (creator/receiver), and tertiary (worship/transmitter).</w:t>
      </w:r>
    </w:p>
    <w:p w14:paraId="6268BBCB" w14:textId="08D6D4B7" w:rsidR="00E91FC1" w:rsidRPr="00E91FC1" w:rsidRDefault="00E91FC1" w:rsidP="00E91FC1">
      <w:pPr>
        <w:pStyle w:val="ListParagraph"/>
        <w:numPr>
          <w:ilvl w:val="0"/>
          <w:numId w:val="45"/>
        </w:numPr>
        <w:spacing w:after="0"/>
        <w:jc w:val="both"/>
        <w:rPr>
          <w:rFonts w:asciiTheme="majorHAnsi" w:hAnsiTheme="majorHAnsi" w:cs="Calibri"/>
          <w:color w:val="000000"/>
          <w:sz w:val="24"/>
          <w:szCs w:val="24"/>
          <w:shd w:val="clear" w:color="auto" w:fill="FFFFFF"/>
          <w:lang w:val="id-ID"/>
        </w:rPr>
      </w:pPr>
      <w:r w:rsidRPr="00E91FC1">
        <w:rPr>
          <w:rFonts w:asciiTheme="majorHAnsi" w:hAnsiTheme="majorHAnsi" w:cs="Calibri"/>
          <w:color w:val="000000"/>
          <w:sz w:val="24"/>
          <w:szCs w:val="24"/>
          <w:shd w:val="clear" w:color="auto" w:fill="FFFFFF"/>
        </w:rPr>
        <w:t>These three elements will fulfill the statement that the secondary will do tertiary work under the primary (humans were created by God to worship).</w:t>
      </w:r>
    </w:p>
    <w:p w14:paraId="269D4803" w14:textId="0A12D519" w:rsidR="00E91FC1" w:rsidRPr="00FA19CF" w:rsidRDefault="00E91FC1" w:rsidP="00E91FC1">
      <w:pPr>
        <w:pStyle w:val="ListParagraph"/>
        <w:numPr>
          <w:ilvl w:val="0"/>
          <w:numId w:val="45"/>
        </w:numPr>
        <w:spacing w:after="0"/>
        <w:jc w:val="both"/>
        <w:rPr>
          <w:rFonts w:asciiTheme="majorHAnsi" w:hAnsiTheme="majorHAnsi" w:cs="Calibri"/>
          <w:color w:val="000000"/>
          <w:sz w:val="24"/>
          <w:szCs w:val="24"/>
          <w:shd w:val="clear" w:color="auto" w:fill="FFFFFF"/>
          <w:lang w:val="id-ID"/>
        </w:rPr>
      </w:pPr>
      <w:r w:rsidRPr="00E91FC1">
        <w:rPr>
          <w:rFonts w:asciiTheme="majorHAnsi" w:hAnsiTheme="majorHAnsi" w:cs="Calibri"/>
          <w:color w:val="000000"/>
          <w:sz w:val="24"/>
          <w:szCs w:val="24"/>
          <w:shd w:val="clear" w:color="auto" w:fill="FFFFFF"/>
        </w:rPr>
        <w:t>Theory H philosophy can be interpreted as Islamic values, with concepts related to worship and life.</w:t>
      </w:r>
    </w:p>
    <w:p w14:paraId="5F3C1448" w14:textId="77777777" w:rsidR="00FA19CF" w:rsidRPr="00E91FC1" w:rsidRDefault="00FA19CF" w:rsidP="00FA19CF">
      <w:pPr>
        <w:pStyle w:val="ListParagraph"/>
        <w:spacing w:after="0"/>
        <w:ind w:left="648"/>
        <w:jc w:val="both"/>
        <w:rPr>
          <w:rFonts w:asciiTheme="majorHAnsi" w:hAnsiTheme="majorHAnsi" w:cs="Calibri"/>
          <w:color w:val="000000"/>
          <w:sz w:val="24"/>
          <w:szCs w:val="24"/>
          <w:shd w:val="clear" w:color="auto" w:fill="FFFFFF"/>
          <w:lang w:val="id-ID"/>
        </w:rPr>
      </w:pPr>
    </w:p>
    <w:p w14:paraId="135E417B" w14:textId="0FBA155F" w:rsidR="00E91FC1" w:rsidRPr="00E91FC1" w:rsidRDefault="00E91FC1" w:rsidP="00E91FC1">
      <w:pPr>
        <w:spacing w:after="0"/>
        <w:ind w:left="288" w:firstLine="720"/>
        <w:jc w:val="both"/>
        <w:rPr>
          <w:rFonts w:asciiTheme="majorHAnsi" w:hAnsiTheme="majorHAnsi" w:cs="Calibri"/>
          <w:color w:val="000000"/>
          <w:sz w:val="24"/>
          <w:szCs w:val="24"/>
          <w:shd w:val="clear" w:color="auto" w:fill="FFFFFF"/>
          <w:lang w:val="id-ID"/>
        </w:rPr>
      </w:pPr>
      <w:r w:rsidRPr="00E91FC1">
        <w:rPr>
          <w:rFonts w:asciiTheme="majorHAnsi" w:hAnsiTheme="majorHAnsi" w:cs="Calibri"/>
          <w:color w:val="000000"/>
          <w:sz w:val="24"/>
          <w:szCs w:val="24"/>
          <w:shd w:val="clear" w:color="auto" w:fill="FFFFFF"/>
        </w:rPr>
        <w:t>The following are the theories used in this research</w:t>
      </w:r>
      <w:r>
        <w:rPr>
          <w:rFonts w:asciiTheme="majorHAnsi" w:hAnsiTheme="majorHAnsi" w:cs="Calibri"/>
          <w:color w:val="000000"/>
          <w:sz w:val="24"/>
          <w:szCs w:val="24"/>
          <w:shd w:val="clear" w:color="auto" w:fill="FFFFFF"/>
          <w:lang w:val="id-ID"/>
        </w:rPr>
        <w:t>:</w:t>
      </w:r>
    </w:p>
    <w:p w14:paraId="3BAB6DC6" w14:textId="05D10B0A" w:rsidR="00E91FC1" w:rsidRPr="00433894" w:rsidRDefault="00433894" w:rsidP="00433894">
      <w:pPr>
        <w:pStyle w:val="ListParagraph"/>
        <w:numPr>
          <w:ilvl w:val="0"/>
          <w:numId w:val="46"/>
        </w:numPr>
        <w:spacing w:after="0"/>
        <w:ind w:right="26"/>
        <w:jc w:val="both"/>
        <w:rPr>
          <w:rFonts w:asciiTheme="majorHAnsi" w:hAnsiTheme="majorHAnsi" w:cs="Calibri"/>
          <w:color w:val="000000"/>
          <w:sz w:val="24"/>
          <w:szCs w:val="24"/>
          <w:shd w:val="clear" w:color="auto" w:fill="FFFFFF"/>
          <w:lang w:val="id-ID"/>
        </w:rPr>
      </w:pPr>
      <w:r w:rsidRPr="00433894">
        <w:rPr>
          <w:rFonts w:asciiTheme="majorHAnsi" w:hAnsiTheme="majorHAnsi" w:cs="Calibri"/>
          <w:color w:val="000000"/>
          <w:sz w:val="24"/>
          <w:szCs w:val="24"/>
          <w:shd w:val="clear" w:color="auto" w:fill="FFFFFF"/>
        </w:rPr>
        <w:t>Efficiency Theory</w:t>
      </w:r>
    </w:p>
    <w:p w14:paraId="1562DB04" w14:textId="06E56D9A" w:rsidR="00433894" w:rsidRPr="00A63D3F" w:rsidRDefault="00A63D3F" w:rsidP="00A63D3F">
      <w:pPr>
        <w:pStyle w:val="ListParagraph"/>
        <w:spacing w:after="0"/>
        <w:ind w:left="648" w:right="26"/>
        <w:jc w:val="both"/>
        <w:rPr>
          <w:rFonts w:asciiTheme="majorHAnsi" w:hAnsiTheme="majorHAnsi" w:cs="Calibri"/>
          <w:color w:val="000000"/>
          <w:sz w:val="24"/>
          <w:szCs w:val="24"/>
          <w:shd w:val="clear" w:color="auto" w:fill="FFFFFF"/>
          <w:lang w:val="id-ID"/>
        </w:rPr>
      </w:pPr>
      <w:r w:rsidRPr="00A63D3F">
        <w:rPr>
          <w:rFonts w:asciiTheme="majorHAnsi" w:hAnsiTheme="majorHAnsi" w:cs="Calibri"/>
          <w:color w:val="000000"/>
          <w:sz w:val="24"/>
          <w:szCs w:val="24"/>
          <w:shd w:val="clear" w:color="auto" w:fill="FFFFFF"/>
        </w:rPr>
        <w:t xml:space="preserve">Banking efficiency is one indicator of a bank's performance. Bank efficiency is a matrix measuring the overall performance of banking operations. Efficiency is using the least amount of input to get the maximum amount of </w:t>
      </w:r>
      <w:r w:rsidRPr="00A63D3F">
        <w:rPr>
          <w:rFonts w:asciiTheme="majorHAnsi" w:hAnsiTheme="majorHAnsi" w:cs="Calibri"/>
          <w:color w:val="000000"/>
          <w:sz w:val="24"/>
          <w:szCs w:val="24"/>
          <w:shd w:val="clear" w:color="auto" w:fill="FFFFFF"/>
        </w:rPr>
        <w:lastRenderedPageBreak/>
        <w:t>output.</w:t>
      </w:r>
      <w:r w:rsidR="001265A8">
        <w:rPr>
          <w:rStyle w:val="FootnoteReference"/>
          <w:rFonts w:asciiTheme="majorHAnsi" w:hAnsiTheme="majorHAnsi" w:cs="Calibri"/>
          <w:color w:val="000000"/>
          <w:sz w:val="24"/>
          <w:szCs w:val="24"/>
          <w:shd w:val="clear" w:color="auto" w:fill="FFFFFF"/>
        </w:rPr>
        <w:footnoteReference w:id="9"/>
      </w:r>
      <w:r w:rsidRPr="00A63D3F">
        <w:rPr>
          <w:rFonts w:asciiTheme="majorHAnsi" w:hAnsiTheme="majorHAnsi" w:cs="Calibri"/>
          <w:color w:val="000000"/>
          <w:sz w:val="24"/>
          <w:szCs w:val="24"/>
          <w:shd w:val="clear" w:color="auto" w:fill="FFFFFF"/>
        </w:rPr>
        <w:t xml:space="preserve"> Efficiency is significant as organizations have limited resources and inputs. This study aims to measure bank efficiency and identify the factors that determine the level of bank efficiency in Indonesia.</w:t>
      </w:r>
      <w:r w:rsidR="00601C63">
        <w:rPr>
          <w:rStyle w:val="FootnoteReference"/>
          <w:rFonts w:asciiTheme="majorHAnsi" w:hAnsiTheme="majorHAnsi" w:cs="Calibri"/>
          <w:color w:val="000000"/>
          <w:sz w:val="24"/>
          <w:szCs w:val="24"/>
          <w:shd w:val="clear" w:color="auto" w:fill="FFFFFF"/>
        </w:rPr>
        <w:footnoteReference w:id="10"/>
      </w:r>
      <w:r w:rsidRPr="00A63D3F">
        <w:rPr>
          <w:rFonts w:asciiTheme="majorHAnsi" w:hAnsiTheme="majorHAnsi" w:cs="Calibri"/>
          <w:color w:val="000000"/>
          <w:sz w:val="24"/>
          <w:szCs w:val="24"/>
          <w:shd w:val="clear" w:color="auto" w:fill="FFFFFF"/>
        </w:rPr>
        <w:t xml:space="preserve"> A two-stage study was conducted. In the first stage, the efficiency value of a bank is measured using two efficiency concepts, namely the concept of cost efficiency and the concept of profit efficiency, using the Stochastic Frontier Approach (SFA) method. In the second stage, the efficiency value achieved in the first stage is regressed using various efficiency determinants. These factors include bank size, bank capital, credit risk, bank ownership structure, and bank market share</w:t>
      </w:r>
      <w:r>
        <w:rPr>
          <w:rFonts w:asciiTheme="majorHAnsi" w:hAnsiTheme="majorHAnsi" w:cs="Calibri"/>
          <w:color w:val="000000"/>
          <w:sz w:val="24"/>
          <w:szCs w:val="24"/>
          <w:shd w:val="clear" w:color="auto" w:fill="FFFFFF"/>
          <w:lang w:val="id-ID"/>
        </w:rPr>
        <w:t>.</w:t>
      </w:r>
      <w:r w:rsidR="00EB4B76">
        <w:rPr>
          <w:rStyle w:val="FootnoteReference"/>
          <w:rFonts w:asciiTheme="majorHAnsi" w:hAnsiTheme="majorHAnsi" w:cs="Calibri"/>
          <w:color w:val="000000"/>
          <w:sz w:val="24"/>
          <w:szCs w:val="24"/>
          <w:shd w:val="clear" w:color="auto" w:fill="FFFFFF"/>
          <w:lang w:val="id-ID"/>
        </w:rPr>
        <w:footnoteReference w:id="11"/>
      </w:r>
    </w:p>
    <w:p w14:paraId="28B28F53" w14:textId="6FA6C4E0" w:rsidR="00433894" w:rsidRPr="00A63D3F" w:rsidRDefault="00433894" w:rsidP="00433894">
      <w:pPr>
        <w:pStyle w:val="ListParagraph"/>
        <w:numPr>
          <w:ilvl w:val="0"/>
          <w:numId w:val="46"/>
        </w:numPr>
        <w:spacing w:after="0"/>
        <w:ind w:right="26"/>
        <w:jc w:val="both"/>
        <w:rPr>
          <w:rFonts w:asciiTheme="majorHAnsi" w:hAnsiTheme="majorHAnsi" w:cs="Calibri"/>
          <w:color w:val="000000"/>
          <w:sz w:val="24"/>
          <w:szCs w:val="24"/>
          <w:shd w:val="clear" w:color="auto" w:fill="FFFFFF"/>
          <w:lang w:val="id-ID"/>
        </w:rPr>
      </w:pPr>
      <w:r w:rsidRPr="00433894">
        <w:rPr>
          <w:rFonts w:asciiTheme="majorHAnsi" w:hAnsiTheme="majorHAnsi" w:cs="Calibri"/>
          <w:color w:val="000000"/>
          <w:sz w:val="24"/>
          <w:szCs w:val="24"/>
          <w:shd w:val="clear" w:color="auto" w:fill="FFFFFF"/>
        </w:rPr>
        <w:t>Islamic Bank</w:t>
      </w:r>
    </w:p>
    <w:p w14:paraId="2DB6A833" w14:textId="2F883ADE" w:rsidR="00A63D3F" w:rsidRPr="00A63D3F" w:rsidRDefault="00A63D3F" w:rsidP="00A63D3F">
      <w:pPr>
        <w:pStyle w:val="ListParagraph"/>
        <w:spacing w:after="0"/>
        <w:ind w:left="648" w:right="26"/>
        <w:jc w:val="both"/>
        <w:rPr>
          <w:rFonts w:asciiTheme="majorHAnsi" w:hAnsiTheme="majorHAnsi" w:cs="Calibri"/>
          <w:color w:val="000000"/>
          <w:sz w:val="24"/>
          <w:szCs w:val="24"/>
          <w:shd w:val="clear" w:color="auto" w:fill="FFFFFF"/>
          <w:lang w:val="id-ID"/>
        </w:rPr>
      </w:pPr>
      <w:r w:rsidRPr="00A63D3F">
        <w:rPr>
          <w:rFonts w:asciiTheme="majorHAnsi" w:hAnsiTheme="majorHAnsi" w:cs="Calibri"/>
          <w:color w:val="000000"/>
          <w:sz w:val="24"/>
          <w:szCs w:val="24"/>
          <w:shd w:val="clear" w:color="auto" w:fill="FFFFFF"/>
        </w:rPr>
        <w:t>Islamic Banks are financial institutions that provide payment services based on Islamic Sharia principles. Islamic banking is a type of financial institution that, along with traditional banks, offers the most complete financial transaction services among other financial institutions..</w:t>
      </w:r>
      <w:r w:rsidR="00675437">
        <w:rPr>
          <w:rStyle w:val="FootnoteReference"/>
          <w:rFonts w:asciiTheme="majorHAnsi" w:hAnsiTheme="majorHAnsi" w:cs="Calibri"/>
          <w:color w:val="000000"/>
          <w:sz w:val="24"/>
          <w:szCs w:val="24"/>
          <w:shd w:val="clear" w:color="auto" w:fill="FFFFFF"/>
        </w:rPr>
        <w:footnoteReference w:id="12"/>
      </w:r>
      <w:r w:rsidRPr="00A63D3F">
        <w:rPr>
          <w:rFonts w:asciiTheme="majorHAnsi" w:hAnsiTheme="majorHAnsi" w:cs="Calibri"/>
          <w:color w:val="000000"/>
          <w:sz w:val="24"/>
          <w:szCs w:val="24"/>
          <w:shd w:val="clear" w:color="auto" w:fill="FFFFFF"/>
        </w:rPr>
        <w:t xml:space="preserve"> Islamic banks are bound with sharia principles. The application of Sharia principles is the main differentiator from traditional banks. Sharia principles refer to Islamic Sharia based on the Qur'an and Hadith. Islam as a religion is a concept that comprehensively and universally regulates human life, both about the Creator (</w:t>
      </w:r>
      <w:r w:rsidRPr="00A63D3F">
        <w:rPr>
          <w:rFonts w:asciiTheme="majorHAnsi" w:hAnsiTheme="majorHAnsi" w:cs="Calibri"/>
          <w:i/>
          <w:iCs/>
          <w:color w:val="000000"/>
          <w:sz w:val="24"/>
          <w:szCs w:val="24"/>
          <w:shd w:val="clear" w:color="auto" w:fill="FFFFFF"/>
        </w:rPr>
        <w:t>Hablu min Allah)</w:t>
      </w:r>
      <w:r w:rsidRPr="00A63D3F">
        <w:rPr>
          <w:rFonts w:asciiTheme="majorHAnsi" w:hAnsiTheme="majorHAnsi" w:cs="Calibri"/>
          <w:color w:val="000000"/>
          <w:sz w:val="24"/>
          <w:szCs w:val="24"/>
          <w:shd w:val="clear" w:color="auto" w:fill="FFFFFF"/>
        </w:rPr>
        <w:t xml:space="preserve"> and with fellow humans </w:t>
      </w:r>
      <w:r w:rsidRPr="00E141A8">
        <w:rPr>
          <w:rFonts w:asciiTheme="majorHAnsi" w:hAnsiTheme="majorHAnsi" w:cs="Calibri"/>
          <w:i/>
          <w:iCs/>
          <w:color w:val="000000"/>
          <w:sz w:val="24"/>
          <w:szCs w:val="24"/>
          <w:shd w:val="clear" w:color="auto" w:fill="FFFFFF"/>
        </w:rPr>
        <w:t>(Habluminannas).</w:t>
      </w:r>
      <w:r w:rsidR="00E141A8">
        <w:rPr>
          <w:rFonts w:asciiTheme="majorHAnsi" w:hAnsiTheme="majorHAnsi" w:cs="Calibri"/>
          <w:color w:val="000000"/>
          <w:sz w:val="24"/>
          <w:szCs w:val="24"/>
          <w:shd w:val="clear" w:color="auto" w:fill="FFFFFF"/>
        </w:rPr>
        <w:t xml:space="preserve"> </w:t>
      </w:r>
      <w:r w:rsidRPr="00A63D3F">
        <w:rPr>
          <w:rFonts w:asciiTheme="majorHAnsi" w:hAnsiTheme="majorHAnsi" w:cs="Calibri"/>
          <w:color w:val="000000"/>
          <w:sz w:val="24"/>
          <w:szCs w:val="24"/>
          <w:shd w:val="clear" w:color="auto" w:fill="FFFFFF"/>
        </w:rPr>
        <w:t>Islamic bank deposits are slightly different from traditional banks. For investment purposes, the bank also offers mutual fund products to choose from. The same applies if you need financing. Not only that, but Islamic banks can also distribute zakat, infaq, and alms.</w:t>
      </w:r>
      <w:r w:rsidR="00E141A8">
        <w:rPr>
          <w:rStyle w:val="FootnoteReference"/>
          <w:rFonts w:asciiTheme="majorHAnsi" w:hAnsiTheme="majorHAnsi" w:cs="Calibri"/>
          <w:color w:val="000000"/>
          <w:sz w:val="24"/>
          <w:szCs w:val="24"/>
          <w:shd w:val="clear" w:color="auto" w:fill="FFFFFF"/>
          <w:lang w:val="id-ID"/>
        </w:rPr>
        <w:footnoteReference w:id="13"/>
      </w:r>
    </w:p>
    <w:p w14:paraId="69FB07B7" w14:textId="17ADCA8C" w:rsidR="00433894" w:rsidRPr="00A63D3F" w:rsidRDefault="00433894" w:rsidP="00433894">
      <w:pPr>
        <w:pStyle w:val="ListParagraph"/>
        <w:numPr>
          <w:ilvl w:val="0"/>
          <w:numId w:val="46"/>
        </w:numPr>
        <w:spacing w:after="0"/>
        <w:ind w:right="26"/>
        <w:jc w:val="both"/>
        <w:rPr>
          <w:rFonts w:asciiTheme="majorHAnsi" w:hAnsiTheme="majorHAnsi" w:cs="Calibri"/>
          <w:color w:val="000000"/>
          <w:sz w:val="24"/>
          <w:szCs w:val="24"/>
          <w:shd w:val="clear" w:color="auto" w:fill="FFFFFF"/>
          <w:lang w:val="id-ID"/>
        </w:rPr>
      </w:pPr>
      <w:r w:rsidRPr="00433894">
        <w:rPr>
          <w:rFonts w:asciiTheme="majorHAnsi" w:hAnsiTheme="majorHAnsi" w:cs="Calibri"/>
          <w:color w:val="000000"/>
          <w:sz w:val="24"/>
          <w:szCs w:val="24"/>
          <w:shd w:val="clear" w:color="auto" w:fill="FFFFFF"/>
        </w:rPr>
        <w:t>Return on Assets</w:t>
      </w:r>
    </w:p>
    <w:p w14:paraId="58DDCB32" w14:textId="0536E0CF" w:rsidR="00A63D3F" w:rsidRDefault="00A63D3F" w:rsidP="00A63D3F">
      <w:pPr>
        <w:pStyle w:val="ListParagraph"/>
        <w:spacing w:after="0"/>
        <w:ind w:left="648" w:right="26"/>
        <w:jc w:val="both"/>
        <w:rPr>
          <w:rFonts w:asciiTheme="majorHAnsi" w:hAnsiTheme="majorHAnsi" w:cs="Calibri"/>
          <w:color w:val="000000"/>
          <w:sz w:val="24"/>
          <w:szCs w:val="24"/>
          <w:shd w:val="clear" w:color="auto" w:fill="FFFFFF"/>
        </w:rPr>
      </w:pPr>
      <w:r w:rsidRPr="00A63D3F">
        <w:rPr>
          <w:rFonts w:asciiTheme="majorHAnsi" w:hAnsiTheme="majorHAnsi" w:cs="Calibri"/>
          <w:color w:val="000000"/>
          <w:sz w:val="24"/>
          <w:szCs w:val="24"/>
          <w:shd w:val="clear" w:color="auto" w:fill="FFFFFF"/>
        </w:rPr>
        <w:t>ROA stands for Return on Assets, in context of Indonesian also interpreted as a method of returning assets. An expert from the field, Mardianto said ROA is a ratio used to measure a company's ability to generate profits because it represents all company activities.</w:t>
      </w:r>
      <w:r w:rsidR="00295677">
        <w:rPr>
          <w:rStyle w:val="FootnoteReference"/>
          <w:rFonts w:asciiTheme="majorHAnsi" w:hAnsiTheme="majorHAnsi" w:cs="Calibri"/>
          <w:color w:val="000000"/>
          <w:sz w:val="24"/>
          <w:szCs w:val="24"/>
          <w:shd w:val="clear" w:color="auto" w:fill="FFFFFF"/>
        </w:rPr>
        <w:footnoteReference w:id="14"/>
      </w:r>
      <w:r w:rsidRPr="00A63D3F">
        <w:rPr>
          <w:rFonts w:asciiTheme="majorHAnsi" w:hAnsiTheme="majorHAnsi" w:cs="Calibri"/>
          <w:color w:val="000000"/>
          <w:sz w:val="24"/>
          <w:szCs w:val="24"/>
          <w:shd w:val="clear" w:color="auto" w:fill="FFFFFF"/>
        </w:rPr>
        <w:t xml:space="preserve"> Simply put, ROA is a measurement represents the ratio of the net profit a company generates to the capital invested in its assets. For example, you need a fried rice cart to create fried rice. Well, the ROA is the profit from selling fried rice compared </w:t>
      </w:r>
      <w:r w:rsidRPr="00A63D3F">
        <w:rPr>
          <w:rFonts w:asciiTheme="majorHAnsi" w:hAnsiTheme="majorHAnsi" w:cs="Calibri"/>
          <w:color w:val="000000"/>
          <w:sz w:val="24"/>
          <w:szCs w:val="24"/>
          <w:shd w:val="clear" w:color="auto" w:fill="FFFFFF"/>
        </w:rPr>
        <w:lastRenderedPageBreak/>
        <w:t>to the amount spent on buying a fried rice cart.</w:t>
      </w:r>
      <w:r w:rsidR="00256F58">
        <w:rPr>
          <w:rStyle w:val="FootnoteReference"/>
          <w:rFonts w:asciiTheme="majorHAnsi" w:hAnsiTheme="majorHAnsi" w:cs="Calibri"/>
          <w:color w:val="000000"/>
          <w:sz w:val="24"/>
          <w:szCs w:val="24"/>
          <w:shd w:val="clear" w:color="auto" w:fill="FFFFFF"/>
        </w:rPr>
        <w:footnoteReference w:id="15"/>
      </w:r>
      <w:r w:rsidRPr="00A63D3F">
        <w:rPr>
          <w:rFonts w:asciiTheme="majorHAnsi" w:hAnsiTheme="majorHAnsi" w:cs="Calibri"/>
          <w:color w:val="000000"/>
          <w:sz w:val="24"/>
          <w:szCs w:val="24"/>
          <w:shd w:val="clear" w:color="auto" w:fill="FFFFFF"/>
        </w:rPr>
        <w:t xml:space="preserve"> Another economist once Helly suggested the higher the return on investment, the higher the net profit per rupiah from the funds embedded in total assets. Therefore, successful entrepreneurs aim for the highest ROA. Low ROA means low productivity of trading companies</w:t>
      </w:r>
      <w:r w:rsidR="00256F58">
        <w:rPr>
          <w:rFonts w:asciiTheme="majorHAnsi" w:hAnsiTheme="majorHAnsi" w:cs="Calibri"/>
          <w:color w:val="000000"/>
          <w:sz w:val="24"/>
          <w:szCs w:val="24"/>
          <w:shd w:val="clear" w:color="auto" w:fill="FFFFFF"/>
        </w:rPr>
        <w:t>.</w:t>
      </w:r>
      <w:r w:rsidR="00256F58">
        <w:rPr>
          <w:rStyle w:val="FootnoteReference"/>
          <w:rFonts w:asciiTheme="majorHAnsi" w:hAnsiTheme="majorHAnsi" w:cs="Calibri"/>
          <w:color w:val="000000"/>
          <w:sz w:val="24"/>
          <w:szCs w:val="24"/>
          <w:shd w:val="clear" w:color="auto" w:fill="FFFFFF"/>
        </w:rPr>
        <w:footnoteReference w:id="16"/>
      </w:r>
    </w:p>
    <w:p w14:paraId="2AAEAF13" w14:textId="77777777" w:rsidR="00A63D3F" w:rsidRPr="004E2A46" w:rsidRDefault="00A63D3F" w:rsidP="004E2A46">
      <w:pPr>
        <w:spacing w:after="0"/>
        <w:ind w:right="26"/>
        <w:jc w:val="both"/>
        <w:rPr>
          <w:rFonts w:asciiTheme="majorHAnsi" w:hAnsiTheme="majorHAnsi" w:cs="Calibri"/>
          <w:color w:val="000000"/>
          <w:sz w:val="24"/>
          <w:szCs w:val="24"/>
          <w:shd w:val="clear" w:color="auto" w:fill="FFFFFF"/>
          <w:lang w:val="id-ID"/>
        </w:rPr>
      </w:pPr>
    </w:p>
    <w:p w14:paraId="372A354C" w14:textId="08D098C9" w:rsidR="00160F65" w:rsidRPr="001D3624" w:rsidRDefault="00465078" w:rsidP="00465078">
      <w:pPr>
        <w:spacing w:after="0"/>
        <w:ind w:left="288" w:right="26"/>
        <w:jc w:val="both"/>
        <w:rPr>
          <w:rFonts w:asciiTheme="majorHAnsi" w:hAnsiTheme="majorHAnsi" w:cs="Calibri"/>
          <w:b/>
          <w:bCs/>
          <w:color w:val="000000"/>
          <w:sz w:val="24"/>
          <w:szCs w:val="24"/>
          <w:shd w:val="clear" w:color="auto" w:fill="FFFFFF"/>
        </w:rPr>
      </w:pPr>
      <w:r w:rsidRPr="00465078">
        <w:rPr>
          <w:rFonts w:asciiTheme="majorHAnsi" w:hAnsiTheme="majorHAnsi" w:cs="Calibri"/>
          <w:b/>
          <w:bCs/>
          <w:color w:val="000000"/>
          <w:sz w:val="24"/>
          <w:szCs w:val="24"/>
          <w:shd w:val="clear" w:color="auto" w:fill="FFFFFF"/>
        </w:rPr>
        <w:t>METHODOLOGY</w:t>
      </w:r>
    </w:p>
    <w:p w14:paraId="0A38E408" w14:textId="277C8834" w:rsidR="0049476C" w:rsidRDefault="00465078" w:rsidP="00465078">
      <w:pPr>
        <w:spacing w:after="0"/>
        <w:ind w:left="288" w:right="26" w:firstLine="709"/>
        <w:jc w:val="both"/>
        <w:rPr>
          <w:rFonts w:asciiTheme="majorHAnsi" w:hAnsiTheme="majorHAnsi" w:cs="Calibri"/>
          <w:color w:val="000000"/>
          <w:sz w:val="24"/>
          <w:szCs w:val="24"/>
          <w:shd w:val="clear" w:color="auto" w:fill="FFFFFF"/>
        </w:rPr>
      </w:pPr>
      <w:r w:rsidRPr="00465078">
        <w:rPr>
          <w:rFonts w:asciiTheme="majorHAnsi" w:hAnsiTheme="majorHAnsi" w:cs="Calibri"/>
          <w:color w:val="000000"/>
          <w:sz w:val="24"/>
          <w:szCs w:val="24"/>
          <w:shd w:val="clear" w:color="auto" w:fill="FFFFFF"/>
        </w:rPr>
        <w:t>This study includes an analysis of the efficiency level of Islamic commercial banks in Indonesia only for the 2019-2021 research period, using the Islamic Value Data Envelopment Analysis (DEA) method. The data utilized mainly from the financial statements of Indonesian Islamic banks. The variables used are Return on Assets (ROA) and other operating income compared to the growth rate of Islamic commercial banks.</w:t>
      </w:r>
    </w:p>
    <w:p w14:paraId="6AD8F77C" w14:textId="77777777" w:rsidR="00465078" w:rsidRDefault="00465078" w:rsidP="00465078">
      <w:pPr>
        <w:spacing w:after="0"/>
        <w:ind w:left="288"/>
        <w:jc w:val="both"/>
        <w:rPr>
          <w:rFonts w:asciiTheme="majorHAnsi" w:hAnsiTheme="majorHAnsi" w:cs="Calibri"/>
          <w:color w:val="000000"/>
          <w:sz w:val="24"/>
          <w:szCs w:val="24"/>
          <w:shd w:val="clear" w:color="auto" w:fill="FFFFFF"/>
        </w:rPr>
      </w:pPr>
    </w:p>
    <w:p w14:paraId="2A49913D" w14:textId="0292DF1E" w:rsidR="00465078" w:rsidRDefault="003A4552" w:rsidP="00465078">
      <w:pPr>
        <w:spacing w:after="0"/>
        <w:ind w:left="288"/>
        <w:jc w:val="both"/>
        <w:rPr>
          <w:rFonts w:asciiTheme="majorHAnsi" w:hAnsiTheme="majorHAnsi" w:cs="Calibri"/>
          <w:b/>
          <w:bCs/>
          <w:color w:val="000000"/>
          <w:sz w:val="24"/>
          <w:szCs w:val="24"/>
          <w:shd w:val="clear" w:color="auto" w:fill="FFFFFF"/>
        </w:rPr>
      </w:pPr>
      <w:r w:rsidRPr="00465078">
        <w:rPr>
          <w:rFonts w:asciiTheme="majorHAnsi" w:hAnsiTheme="majorHAnsi" w:cs="Calibri"/>
          <w:b/>
          <w:bCs/>
          <w:color w:val="000000"/>
          <w:sz w:val="24"/>
          <w:szCs w:val="24"/>
          <w:shd w:val="clear" w:color="auto" w:fill="FFFFFF"/>
        </w:rPr>
        <w:t>Data Envelopment Analysis</w:t>
      </w:r>
    </w:p>
    <w:p w14:paraId="4B45DB17" w14:textId="4FD2A913" w:rsidR="00465078" w:rsidRPr="00E76405" w:rsidRDefault="00465078" w:rsidP="00465078">
      <w:pPr>
        <w:spacing w:after="0"/>
        <w:ind w:left="288" w:firstLine="720"/>
        <w:jc w:val="both"/>
        <w:rPr>
          <w:rFonts w:asciiTheme="majorHAnsi" w:hAnsiTheme="majorHAnsi" w:cs="Calibri"/>
          <w:i/>
          <w:iCs/>
          <w:color w:val="000000"/>
          <w:sz w:val="24"/>
          <w:szCs w:val="24"/>
          <w:shd w:val="clear" w:color="auto" w:fill="FFFFFF"/>
        </w:rPr>
      </w:pPr>
      <w:r w:rsidRPr="00465078">
        <w:rPr>
          <w:rFonts w:asciiTheme="majorHAnsi" w:hAnsiTheme="majorHAnsi" w:cs="Calibri"/>
          <w:color w:val="000000"/>
          <w:sz w:val="24"/>
          <w:szCs w:val="24"/>
          <w:shd w:val="clear" w:color="auto" w:fill="FFFFFF"/>
        </w:rPr>
        <w:t xml:space="preserve">Data Envelopment Analysis (DEA) was first introduced by Charnes, Cooper, and Rhodes circa 1978. DEA is a non-parametric approach that is essentially an evolution of linear programming (LP). </w:t>
      </w:r>
      <w:r w:rsidR="00E76405" w:rsidRPr="00465078">
        <w:rPr>
          <w:rFonts w:asciiTheme="majorHAnsi" w:hAnsiTheme="majorHAnsi" w:cs="Calibri"/>
          <w:color w:val="000000"/>
          <w:sz w:val="24"/>
          <w:szCs w:val="24"/>
          <w:shd w:val="clear" w:color="auto" w:fill="FFFFFF"/>
        </w:rPr>
        <w:t>Sirait, D. N., &amp; Efendi, S.,</w:t>
      </w:r>
      <w:r w:rsidR="00E76405">
        <w:rPr>
          <w:rFonts w:asciiTheme="majorHAnsi" w:hAnsiTheme="majorHAnsi" w:cs="Calibri"/>
          <w:color w:val="000000"/>
          <w:sz w:val="24"/>
          <w:szCs w:val="24"/>
          <w:shd w:val="clear" w:color="auto" w:fill="FFFFFF"/>
        </w:rPr>
        <w:t xml:space="preserve"> said that </w:t>
      </w:r>
      <w:r w:rsidR="00E76405" w:rsidRPr="00465078">
        <w:rPr>
          <w:rFonts w:asciiTheme="majorHAnsi" w:hAnsiTheme="majorHAnsi" w:cs="Calibri"/>
          <w:color w:val="000000"/>
          <w:sz w:val="24"/>
          <w:szCs w:val="24"/>
          <w:shd w:val="clear" w:color="auto" w:fill="FFFFFF"/>
        </w:rPr>
        <w:t xml:space="preserve">data </w:t>
      </w:r>
      <w:r w:rsidRPr="00465078">
        <w:rPr>
          <w:rFonts w:asciiTheme="majorHAnsi" w:hAnsiTheme="majorHAnsi" w:cs="Calibri"/>
          <w:color w:val="000000"/>
          <w:sz w:val="24"/>
          <w:szCs w:val="24"/>
          <w:shd w:val="clear" w:color="auto" w:fill="FFFFFF"/>
        </w:rPr>
        <w:t xml:space="preserve">wrapping analysis is used to evaluate the efficiency of using resources (inputs) to achieve results </w:t>
      </w:r>
      <w:r w:rsidRPr="00E76405">
        <w:rPr>
          <w:rFonts w:asciiTheme="majorHAnsi" w:hAnsiTheme="majorHAnsi" w:cs="Calibri"/>
          <w:i/>
          <w:iCs/>
          <w:color w:val="000000"/>
          <w:sz w:val="24"/>
          <w:szCs w:val="24"/>
          <w:shd w:val="clear" w:color="auto" w:fill="FFFFFF"/>
        </w:rPr>
        <w:t>(outputs)</w:t>
      </w:r>
      <w:r w:rsidRPr="00465078">
        <w:rPr>
          <w:rFonts w:asciiTheme="majorHAnsi" w:hAnsiTheme="majorHAnsi" w:cs="Calibri"/>
          <w:color w:val="000000"/>
          <w:sz w:val="24"/>
          <w:szCs w:val="24"/>
          <w:shd w:val="clear" w:color="auto" w:fill="FFFFFF"/>
        </w:rPr>
        <w:t xml:space="preserve"> to maximize efficiency</w:t>
      </w:r>
      <w:r w:rsidR="00F2738E">
        <w:rPr>
          <w:rFonts w:asciiTheme="majorHAnsi" w:hAnsiTheme="majorHAnsi" w:cs="Calibri"/>
          <w:color w:val="000000"/>
          <w:sz w:val="24"/>
          <w:szCs w:val="24"/>
          <w:shd w:val="clear" w:color="auto" w:fill="FFFFFF"/>
        </w:rPr>
        <w:t>.</w:t>
      </w:r>
      <w:r w:rsidRPr="00465078">
        <w:rPr>
          <w:rFonts w:asciiTheme="majorHAnsi" w:hAnsiTheme="majorHAnsi" w:cs="Calibri"/>
          <w:color w:val="000000"/>
          <w:sz w:val="24"/>
          <w:szCs w:val="24"/>
          <w:shd w:val="clear" w:color="auto" w:fill="FFFFFF"/>
        </w:rPr>
        <w:t xml:space="preserve"> Data envelopment analysis (DEA) is a non-parametric method in economics and operations research to estimate output limits. It is used to measure the productive efficiency of the decision-making unit (DMU) empirically. Although DEA is closely related to production theory in economics, it is also used for benchmarking in operations management, where a series of measures are selected to compare operating, production, and service performance. In benchmarking situations,</w:t>
      </w:r>
      <w:r w:rsidR="00E76405">
        <w:rPr>
          <w:rFonts w:asciiTheme="majorHAnsi" w:hAnsiTheme="majorHAnsi" w:cs="Calibri"/>
          <w:color w:val="000000"/>
          <w:sz w:val="24"/>
          <w:szCs w:val="24"/>
          <w:shd w:val="clear" w:color="auto" w:fill="FFFFFF"/>
        </w:rPr>
        <w:t xml:space="preserve"> </w:t>
      </w:r>
      <w:r w:rsidR="00E76405" w:rsidRPr="00465078">
        <w:rPr>
          <w:rFonts w:asciiTheme="majorHAnsi" w:hAnsiTheme="majorHAnsi" w:cs="Calibri"/>
          <w:color w:val="000000"/>
          <w:sz w:val="24"/>
          <w:szCs w:val="24"/>
          <w:shd w:val="clear" w:color="auto" w:fill="FFFFFF"/>
        </w:rPr>
        <w:t>Montoya-Quintero, et al.,</w:t>
      </w:r>
      <w:r w:rsidR="00E76405">
        <w:rPr>
          <w:rFonts w:asciiTheme="majorHAnsi" w:hAnsiTheme="majorHAnsi" w:cs="Calibri"/>
          <w:color w:val="000000"/>
          <w:sz w:val="24"/>
          <w:szCs w:val="24"/>
          <w:shd w:val="clear" w:color="auto" w:fill="FFFFFF"/>
        </w:rPr>
        <w:t xml:space="preserve"> </w:t>
      </w:r>
      <w:r w:rsidRPr="00465078">
        <w:rPr>
          <w:rFonts w:asciiTheme="majorHAnsi" w:hAnsiTheme="majorHAnsi" w:cs="Calibri"/>
          <w:color w:val="000000"/>
          <w:sz w:val="24"/>
          <w:szCs w:val="24"/>
          <w:shd w:val="clear" w:color="auto" w:fill="FFFFFF"/>
        </w:rPr>
        <w:t xml:space="preserve">an effective DMU, as defined by the DEA, is not necessarily a </w:t>
      </w:r>
      <w:r w:rsidRPr="00E76405">
        <w:rPr>
          <w:rFonts w:asciiTheme="majorHAnsi" w:hAnsiTheme="majorHAnsi" w:cs="Calibri"/>
          <w:i/>
          <w:iCs/>
          <w:color w:val="000000"/>
          <w:sz w:val="24"/>
          <w:szCs w:val="24"/>
          <w:shd w:val="clear" w:color="auto" w:fill="FFFFFF"/>
        </w:rPr>
        <w:t>"production frontier", but rather leads to a "best practice angle</w:t>
      </w:r>
      <w:r w:rsidR="00E76405" w:rsidRPr="00E76405">
        <w:rPr>
          <w:rFonts w:asciiTheme="majorHAnsi" w:hAnsiTheme="majorHAnsi" w:cs="Calibri"/>
          <w:i/>
          <w:iCs/>
          <w:color w:val="000000"/>
          <w:sz w:val="24"/>
          <w:szCs w:val="24"/>
          <w:shd w:val="clear" w:color="auto" w:fill="FFFFFF"/>
        </w:rPr>
        <w:t>.</w:t>
      </w:r>
      <w:r w:rsidRPr="00E76405">
        <w:rPr>
          <w:rFonts w:asciiTheme="majorHAnsi" w:hAnsiTheme="majorHAnsi" w:cs="Calibri"/>
          <w:i/>
          <w:iCs/>
          <w:color w:val="000000"/>
          <w:sz w:val="24"/>
          <w:szCs w:val="24"/>
          <w:shd w:val="clear" w:color="auto" w:fill="FFFFFF"/>
        </w:rPr>
        <w:t>"</w:t>
      </w:r>
    </w:p>
    <w:p w14:paraId="667748B9" w14:textId="51F2CE4E" w:rsidR="00465078" w:rsidRPr="007F480C" w:rsidRDefault="00465078" w:rsidP="00465078">
      <w:pPr>
        <w:spacing w:after="0"/>
        <w:ind w:left="288" w:firstLine="720"/>
        <w:jc w:val="both"/>
        <w:rPr>
          <w:rFonts w:asciiTheme="majorHAnsi" w:hAnsiTheme="majorHAnsi" w:cs="Calibri"/>
          <w:i/>
          <w:iCs/>
          <w:color w:val="000000"/>
          <w:sz w:val="24"/>
          <w:szCs w:val="24"/>
          <w:shd w:val="clear" w:color="auto" w:fill="FFFFFF"/>
        </w:rPr>
      </w:pPr>
      <w:r w:rsidRPr="00465078">
        <w:rPr>
          <w:rFonts w:asciiTheme="majorHAnsi" w:hAnsiTheme="majorHAnsi" w:cs="Calibri"/>
          <w:color w:val="000000"/>
          <w:sz w:val="24"/>
          <w:szCs w:val="24"/>
          <w:shd w:val="clear" w:color="auto" w:fill="FFFFFF"/>
        </w:rPr>
        <w:t xml:space="preserve">The term DMU in DEA can take the form of different units such as banks, hospitals, factory units, departments, universities, schools, power plants, police stations, Traffic offices, tax offices, prisons, and all units working the same characteristics. To elaborate, there are two given factors influence the choice of AH, namely: DMU must be a homogeneous unit. These units perform the same missions and have the same goals. The performance-specific inputs and outputs of the DMU must be identical, unless they differ only in magnitude and intensity. Data envelopment analysis can be used to measure efficiency, including analysis for research on health </w:t>
      </w:r>
      <w:r w:rsidRPr="007F480C">
        <w:rPr>
          <w:rFonts w:asciiTheme="majorHAnsi" w:hAnsiTheme="majorHAnsi" w:cs="Calibri"/>
          <w:i/>
          <w:iCs/>
          <w:color w:val="000000"/>
          <w:sz w:val="24"/>
          <w:szCs w:val="24"/>
          <w:shd w:val="clear" w:color="auto" w:fill="FFFFFF"/>
        </w:rPr>
        <w:t>(wellness),</w:t>
      </w:r>
      <w:r w:rsidRPr="00465078">
        <w:rPr>
          <w:rFonts w:asciiTheme="majorHAnsi" w:hAnsiTheme="majorHAnsi" w:cs="Calibri"/>
          <w:color w:val="000000"/>
          <w:sz w:val="24"/>
          <w:szCs w:val="24"/>
          <w:shd w:val="clear" w:color="auto" w:fill="FFFFFF"/>
        </w:rPr>
        <w:t xml:space="preserve"> education </w:t>
      </w:r>
      <w:r w:rsidRPr="007F480C">
        <w:rPr>
          <w:rFonts w:asciiTheme="majorHAnsi" w:hAnsiTheme="majorHAnsi" w:cs="Calibri"/>
          <w:i/>
          <w:iCs/>
          <w:color w:val="000000"/>
          <w:sz w:val="24"/>
          <w:szCs w:val="24"/>
          <w:shd w:val="clear" w:color="auto" w:fill="FFFFFF"/>
        </w:rPr>
        <w:t>(education),</w:t>
      </w:r>
      <w:r w:rsidRPr="00465078">
        <w:rPr>
          <w:rFonts w:asciiTheme="majorHAnsi" w:hAnsiTheme="majorHAnsi" w:cs="Calibri"/>
          <w:color w:val="000000"/>
          <w:sz w:val="24"/>
          <w:szCs w:val="24"/>
          <w:shd w:val="clear" w:color="auto" w:fill="FFFFFF"/>
        </w:rPr>
        <w:t xml:space="preserve"> factories </w:t>
      </w:r>
      <w:r w:rsidRPr="007F480C">
        <w:rPr>
          <w:rFonts w:asciiTheme="majorHAnsi" w:hAnsiTheme="majorHAnsi" w:cs="Calibri"/>
          <w:i/>
          <w:iCs/>
          <w:color w:val="000000"/>
          <w:sz w:val="24"/>
          <w:szCs w:val="24"/>
          <w:shd w:val="clear" w:color="auto" w:fill="FFFFFF"/>
        </w:rPr>
        <w:lastRenderedPageBreak/>
        <w:t>(manufacturing),</w:t>
      </w:r>
      <w:r w:rsidRPr="00465078">
        <w:rPr>
          <w:rFonts w:asciiTheme="majorHAnsi" w:hAnsiTheme="majorHAnsi" w:cs="Calibri"/>
          <w:color w:val="000000"/>
          <w:sz w:val="24"/>
          <w:szCs w:val="24"/>
          <w:shd w:val="clear" w:color="auto" w:fill="FFFFFF"/>
        </w:rPr>
        <w:t xml:space="preserve"> transportation communications </w:t>
      </w:r>
      <w:r w:rsidRPr="007F480C">
        <w:rPr>
          <w:rFonts w:asciiTheme="majorHAnsi" w:hAnsiTheme="majorHAnsi" w:cs="Calibri"/>
          <w:i/>
          <w:iCs/>
          <w:color w:val="000000"/>
          <w:sz w:val="24"/>
          <w:szCs w:val="24"/>
          <w:shd w:val="clear" w:color="auto" w:fill="FFFFFF"/>
        </w:rPr>
        <w:t>(transportation),</w:t>
      </w:r>
      <w:r w:rsidRPr="00465078">
        <w:rPr>
          <w:rFonts w:asciiTheme="majorHAnsi" w:hAnsiTheme="majorHAnsi" w:cs="Calibri"/>
          <w:color w:val="000000"/>
          <w:sz w:val="24"/>
          <w:szCs w:val="24"/>
          <w:shd w:val="clear" w:color="auto" w:fill="FFFFFF"/>
        </w:rPr>
        <w:t xml:space="preserve"> and banking </w:t>
      </w:r>
      <w:r w:rsidRPr="007F480C">
        <w:rPr>
          <w:rFonts w:asciiTheme="majorHAnsi" w:hAnsiTheme="majorHAnsi" w:cs="Calibri"/>
          <w:i/>
          <w:iCs/>
          <w:color w:val="000000"/>
          <w:sz w:val="24"/>
          <w:szCs w:val="24"/>
          <w:shd w:val="clear" w:color="auto" w:fill="FFFFFF"/>
        </w:rPr>
        <w:t>(banking).</w:t>
      </w:r>
    </w:p>
    <w:p w14:paraId="5607B299" w14:textId="77777777" w:rsidR="00465078" w:rsidRPr="00465078" w:rsidRDefault="00465078" w:rsidP="00465078">
      <w:pPr>
        <w:spacing w:after="0"/>
        <w:ind w:left="288" w:firstLine="720"/>
        <w:jc w:val="both"/>
        <w:rPr>
          <w:rFonts w:asciiTheme="majorHAnsi" w:hAnsiTheme="majorHAnsi" w:cs="Calibri"/>
          <w:color w:val="000000"/>
          <w:sz w:val="24"/>
          <w:szCs w:val="24"/>
          <w:shd w:val="clear" w:color="auto" w:fill="FFFFFF"/>
        </w:rPr>
      </w:pPr>
    </w:p>
    <w:p w14:paraId="005B72B3" w14:textId="2F86F5CC" w:rsidR="00465078" w:rsidRDefault="003A4552" w:rsidP="00465078">
      <w:pPr>
        <w:spacing w:after="0"/>
        <w:ind w:left="288"/>
        <w:jc w:val="both"/>
        <w:rPr>
          <w:rFonts w:asciiTheme="majorHAnsi" w:hAnsiTheme="majorHAnsi" w:cs="Calibri"/>
          <w:b/>
          <w:bCs/>
          <w:color w:val="000000"/>
          <w:sz w:val="24"/>
          <w:szCs w:val="24"/>
          <w:shd w:val="clear" w:color="auto" w:fill="FFFFFF"/>
        </w:rPr>
      </w:pPr>
      <w:r w:rsidRPr="00465078">
        <w:rPr>
          <w:rFonts w:asciiTheme="majorHAnsi" w:hAnsiTheme="majorHAnsi" w:cs="Calibri"/>
          <w:b/>
          <w:bCs/>
          <w:color w:val="000000"/>
          <w:sz w:val="24"/>
          <w:szCs w:val="24"/>
          <w:shd w:val="clear" w:color="auto" w:fill="FFFFFF"/>
        </w:rPr>
        <w:t>Analysis of Research Methods</w:t>
      </w:r>
    </w:p>
    <w:p w14:paraId="2E9E5ED1" w14:textId="5F16ACBC" w:rsidR="00465078" w:rsidRDefault="00465078" w:rsidP="00465078">
      <w:pPr>
        <w:spacing w:after="0"/>
        <w:ind w:left="288" w:firstLine="720"/>
        <w:jc w:val="both"/>
        <w:rPr>
          <w:rFonts w:asciiTheme="majorHAnsi" w:hAnsiTheme="majorHAnsi" w:cs="Calibri"/>
          <w:color w:val="000000"/>
          <w:sz w:val="24"/>
          <w:szCs w:val="24"/>
          <w:shd w:val="clear" w:color="auto" w:fill="FFFFFF"/>
        </w:rPr>
      </w:pPr>
      <w:r w:rsidRPr="00465078">
        <w:rPr>
          <w:rFonts w:asciiTheme="majorHAnsi" w:hAnsiTheme="majorHAnsi" w:cs="Calibri"/>
          <w:color w:val="000000"/>
          <w:sz w:val="24"/>
          <w:szCs w:val="24"/>
          <w:shd w:val="clear" w:color="auto" w:fill="FFFFFF"/>
        </w:rPr>
        <w:t>The given factors in this study include the effectiveness of Indonesian Islamic banks for the period 2020-2021 using the Data Envelopment Analysis (DEA) approach and Islamic values. The return on assets (ROA) serves as main variable used to calculate the efficiency of Bank Syariah Indonesia. Data envelopment analysis (DEA) consists chiefly a non-parametric method in economics and operations research to estimate output limits. It is used to measure the productive efficiency of the decision-making unit (DMU) empirically</w:t>
      </w:r>
      <w:r w:rsidR="00464B15">
        <w:rPr>
          <w:rFonts w:asciiTheme="majorHAnsi" w:hAnsiTheme="majorHAnsi" w:cs="Calibri"/>
          <w:color w:val="000000"/>
          <w:sz w:val="24"/>
          <w:szCs w:val="24"/>
          <w:shd w:val="clear" w:color="auto" w:fill="FFFFFF"/>
        </w:rPr>
        <w:t>.</w:t>
      </w:r>
      <w:r w:rsidR="000C5301">
        <w:rPr>
          <w:rStyle w:val="FootnoteReference"/>
          <w:rFonts w:asciiTheme="majorHAnsi" w:hAnsiTheme="majorHAnsi" w:cs="Calibri"/>
          <w:color w:val="000000"/>
          <w:sz w:val="24"/>
          <w:szCs w:val="24"/>
          <w:shd w:val="clear" w:color="auto" w:fill="FFFFFF"/>
        </w:rPr>
        <w:footnoteReference w:id="17"/>
      </w:r>
      <w:r w:rsidRPr="00465078">
        <w:rPr>
          <w:rFonts w:asciiTheme="majorHAnsi" w:hAnsiTheme="majorHAnsi" w:cs="Calibri"/>
          <w:color w:val="000000"/>
          <w:sz w:val="24"/>
          <w:szCs w:val="24"/>
          <w:shd w:val="clear" w:color="auto" w:fill="FFFFFF"/>
        </w:rPr>
        <w:t xml:space="preserve"> According to Sitompul</w:t>
      </w:r>
      <w:r w:rsidR="00464B15">
        <w:rPr>
          <w:rFonts w:asciiTheme="majorHAnsi" w:hAnsiTheme="majorHAnsi" w:cs="Calibri"/>
          <w:color w:val="000000"/>
          <w:sz w:val="24"/>
          <w:szCs w:val="24"/>
          <w:shd w:val="clear" w:color="auto" w:fill="FFFFFF"/>
        </w:rPr>
        <w:t xml:space="preserve">, </w:t>
      </w:r>
      <w:r w:rsidRPr="00465078">
        <w:rPr>
          <w:rFonts w:asciiTheme="majorHAnsi" w:hAnsiTheme="majorHAnsi" w:cs="Calibri"/>
          <w:color w:val="000000"/>
          <w:sz w:val="24"/>
          <w:szCs w:val="24"/>
          <w:shd w:val="clear" w:color="auto" w:fill="FFFFFF"/>
        </w:rPr>
        <w:t xml:space="preserve"> DEA is a tool to evaluate process activities in a system or work unit. Evaluation is carried out as a comparative or correlative assessment between one unit and other units in the organization. In principle, this DEA method follows a non-parametric approach, which is a linear programming-based technique. The purpose of the DEA analysis is to evaluate the efficiency of using resources </w:t>
      </w:r>
      <w:r w:rsidRPr="001A748D">
        <w:rPr>
          <w:rFonts w:asciiTheme="majorHAnsi" w:hAnsiTheme="majorHAnsi" w:cs="Calibri"/>
          <w:i/>
          <w:iCs/>
          <w:color w:val="000000"/>
          <w:sz w:val="24"/>
          <w:szCs w:val="24"/>
          <w:shd w:val="clear" w:color="auto" w:fill="FFFFFF"/>
        </w:rPr>
        <w:t>(inputs)</w:t>
      </w:r>
      <w:r w:rsidRPr="00465078">
        <w:rPr>
          <w:rFonts w:asciiTheme="majorHAnsi" w:hAnsiTheme="majorHAnsi" w:cs="Calibri"/>
          <w:color w:val="000000"/>
          <w:sz w:val="24"/>
          <w:szCs w:val="24"/>
          <w:shd w:val="clear" w:color="auto" w:fill="FFFFFF"/>
        </w:rPr>
        <w:t xml:space="preserve"> to achieve results </w:t>
      </w:r>
      <w:r w:rsidRPr="001A748D">
        <w:rPr>
          <w:rFonts w:asciiTheme="majorHAnsi" w:hAnsiTheme="majorHAnsi" w:cs="Calibri"/>
          <w:i/>
          <w:iCs/>
          <w:color w:val="000000"/>
          <w:sz w:val="24"/>
          <w:szCs w:val="24"/>
          <w:shd w:val="clear" w:color="auto" w:fill="FFFFFF"/>
        </w:rPr>
        <w:t>(outputs)</w:t>
      </w:r>
      <w:r w:rsidRPr="00465078">
        <w:rPr>
          <w:rFonts w:asciiTheme="majorHAnsi" w:hAnsiTheme="majorHAnsi" w:cs="Calibri"/>
          <w:color w:val="000000"/>
          <w:sz w:val="24"/>
          <w:szCs w:val="24"/>
          <w:shd w:val="clear" w:color="auto" w:fill="FFFFFF"/>
        </w:rPr>
        <w:t xml:space="preserve"> in a maximize efficiency. In addition, DEA calculates the effectiveness of organizations that are part of a group based on the best organizational performance of the same group. The individual units analyzed in the DEA are symbolized as DMU (Decision Making Unit) or locally known as UPK.</w:t>
      </w:r>
      <w:r w:rsidR="00464B15">
        <w:rPr>
          <w:rStyle w:val="FootnoteReference"/>
          <w:rFonts w:asciiTheme="majorHAnsi" w:hAnsiTheme="majorHAnsi" w:cs="Calibri"/>
          <w:color w:val="000000"/>
          <w:sz w:val="24"/>
          <w:szCs w:val="24"/>
          <w:shd w:val="clear" w:color="auto" w:fill="FFFFFF"/>
        </w:rPr>
        <w:footnoteReference w:id="18"/>
      </w:r>
    </w:p>
    <w:p w14:paraId="196EE428" w14:textId="77777777" w:rsidR="003A4552" w:rsidRPr="00465078" w:rsidRDefault="003A4552" w:rsidP="00465078">
      <w:pPr>
        <w:spacing w:after="0"/>
        <w:ind w:left="288" w:firstLine="720"/>
        <w:jc w:val="both"/>
        <w:rPr>
          <w:rFonts w:asciiTheme="majorHAnsi" w:hAnsiTheme="majorHAnsi" w:cs="Calibri"/>
          <w:color w:val="000000"/>
          <w:sz w:val="24"/>
          <w:szCs w:val="24"/>
          <w:shd w:val="clear" w:color="auto" w:fill="FFFFFF"/>
        </w:rPr>
      </w:pPr>
    </w:p>
    <w:p w14:paraId="67905100" w14:textId="510C1B5D" w:rsidR="003A4552" w:rsidRDefault="004E2A46" w:rsidP="003A4552">
      <w:pPr>
        <w:spacing w:after="0"/>
        <w:ind w:left="288"/>
        <w:jc w:val="both"/>
        <w:rPr>
          <w:rFonts w:asciiTheme="majorHAnsi" w:hAnsiTheme="majorHAnsi" w:cs="Calibri"/>
          <w:b/>
          <w:bCs/>
          <w:color w:val="000000"/>
          <w:sz w:val="24"/>
          <w:szCs w:val="24"/>
          <w:shd w:val="clear" w:color="auto" w:fill="FFFFFF"/>
        </w:rPr>
      </w:pPr>
      <w:r w:rsidRPr="00465078">
        <w:rPr>
          <w:rFonts w:asciiTheme="majorHAnsi" w:hAnsiTheme="majorHAnsi" w:cs="Calibri"/>
          <w:b/>
          <w:bCs/>
          <w:color w:val="000000"/>
          <w:sz w:val="24"/>
          <w:szCs w:val="24"/>
          <w:shd w:val="clear" w:color="auto" w:fill="FFFFFF"/>
        </w:rPr>
        <w:t>Types and Objects Of Research</w:t>
      </w:r>
    </w:p>
    <w:p w14:paraId="225E3574" w14:textId="2848A759" w:rsidR="003A4552" w:rsidRDefault="003A4552" w:rsidP="003A4552">
      <w:pPr>
        <w:spacing w:after="0"/>
        <w:ind w:left="288" w:firstLine="720"/>
        <w:jc w:val="both"/>
        <w:rPr>
          <w:rFonts w:asciiTheme="majorHAnsi" w:hAnsiTheme="majorHAnsi" w:cs="Calibri"/>
          <w:color w:val="000000"/>
          <w:sz w:val="24"/>
          <w:szCs w:val="24"/>
          <w:shd w:val="clear" w:color="auto" w:fill="FFFFFF"/>
        </w:rPr>
      </w:pPr>
      <w:r w:rsidRPr="003A4552">
        <w:rPr>
          <w:rFonts w:asciiTheme="majorHAnsi" w:hAnsiTheme="majorHAnsi" w:cs="Calibri"/>
          <w:color w:val="000000"/>
          <w:sz w:val="24"/>
          <w:szCs w:val="24"/>
          <w:shd w:val="clear" w:color="auto" w:fill="FFFFFF"/>
        </w:rPr>
        <w:t>The roa is utilized as variable applied in this study to calculate the level of efficiency. Usage period 2019-2020. The first step of this research is to apply data packaging analysis (dea) and then proceed with the second step, namely the methodological approach toward measuring of worshipping god/prayer values.</w:t>
      </w:r>
    </w:p>
    <w:p w14:paraId="32410D59" w14:textId="77777777" w:rsidR="003A4552" w:rsidRPr="003A4552" w:rsidRDefault="003A4552" w:rsidP="003A4552">
      <w:pPr>
        <w:spacing w:after="0"/>
        <w:ind w:left="288" w:firstLine="720"/>
        <w:jc w:val="both"/>
        <w:rPr>
          <w:rFonts w:asciiTheme="majorHAnsi" w:hAnsiTheme="majorHAnsi" w:cs="Calibri"/>
          <w:color w:val="000000"/>
          <w:sz w:val="24"/>
          <w:szCs w:val="24"/>
          <w:shd w:val="clear" w:color="auto" w:fill="FFFFFF"/>
        </w:rPr>
      </w:pPr>
    </w:p>
    <w:p w14:paraId="0695C157" w14:textId="04C49229" w:rsidR="00465078" w:rsidRDefault="004E2A46" w:rsidP="00465078">
      <w:pPr>
        <w:spacing w:after="0"/>
        <w:ind w:left="288"/>
        <w:jc w:val="both"/>
        <w:rPr>
          <w:rFonts w:asciiTheme="majorHAnsi" w:hAnsiTheme="majorHAnsi" w:cs="Calibri"/>
          <w:color w:val="000000"/>
          <w:sz w:val="24"/>
          <w:szCs w:val="24"/>
          <w:shd w:val="clear" w:color="auto" w:fill="FFFFFF"/>
        </w:rPr>
      </w:pPr>
      <w:r w:rsidRPr="00465078">
        <w:rPr>
          <w:rFonts w:asciiTheme="majorHAnsi" w:hAnsiTheme="majorHAnsi" w:cs="Calibri"/>
          <w:b/>
          <w:bCs/>
          <w:color w:val="000000"/>
          <w:sz w:val="24"/>
          <w:szCs w:val="24"/>
          <w:shd w:val="clear" w:color="auto" w:fill="FFFFFF"/>
        </w:rPr>
        <w:t>Method of Collecting Data</w:t>
      </w:r>
    </w:p>
    <w:p w14:paraId="16A746B0" w14:textId="1019301C" w:rsidR="00160F65" w:rsidRDefault="008168C8" w:rsidP="008168C8">
      <w:pPr>
        <w:spacing w:after="0"/>
        <w:ind w:left="288" w:right="26" w:firstLine="709"/>
        <w:jc w:val="both"/>
        <w:rPr>
          <w:rFonts w:asciiTheme="majorHAnsi" w:hAnsiTheme="majorHAnsi" w:cs="Calibri"/>
          <w:color w:val="000000"/>
          <w:sz w:val="24"/>
          <w:szCs w:val="24"/>
          <w:shd w:val="clear" w:color="auto" w:fill="FFFFFF"/>
        </w:rPr>
      </w:pPr>
      <w:r w:rsidRPr="008168C8">
        <w:rPr>
          <w:rFonts w:asciiTheme="majorHAnsi" w:hAnsiTheme="majorHAnsi" w:cs="Calibri"/>
          <w:color w:val="000000"/>
          <w:sz w:val="24"/>
          <w:szCs w:val="24"/>
          <w:shd w:val="clear" w:color="auto" w:fill="FFFFFF"/>
        </w:rPr>
        <w:t>The data collection method applied in this study is data from the annual accounts of Indonesian Islamic Commercial Banks for the period of 2019-2021.</w:t>
      </w:r>
    </w:p>
    <w:p w14:paraId="069BD000" w14:textId="77777777" w:rsidR="00160F65" w:rsidRDefault="00160F65" w:rsidP="00133472">
      <w:pPr>
        <w:spacing w:after="0"/>
        <w:ind w:left="288" w:right="26"/>
        <w:jc w:val="both"/>
        <w:rPr>
          <w:rFonts w:asciiTheme="majorHAnsi" w:hAnsiTheme="majorHAnsi" w:cs="Calibri"/>
          <w:color w:val="000000"/>
          <w:sz w:val="24"/>
          <w:szCs w:val="24"/>
          <w:shd w:val="clear" w:color="auto" w:fill="FFFFFF"/>
        </w:rPr>
      </w:pPr>
    </w:p>
    <w:p w14:paraId="22873F22" w14:textId="790BC215" w:rsidR="00160F65" w:rsidRDefault="008168C8" w:rsidP="008168C8">
      <w:pPr>
        <w:spacing w:after="0"/>
        <w:ind w:left="288" w:right="26"/>
        <w:jc w:val="both"/>
        <w:rPr>
          <w:rFonts w:asciiTheme="majorHAnsi" w:hAnsiTheme="majorHAnsi" w:cs="Calibri"/>
          <w:b/>
          <w:bCs/>
          <w:color w:val="000000"/>
          <w:sz w:val="24"/>
          <w:szCs w:val="24"/>
          <w:shd w:val="clear" w:color="auto" w:fill="FFFFFF"/>
        </w:rPr>
      </w:pPr>
      <w:r w:rsidRPr="008168C8">
        <w:rPr>
          <w:rFonts w:asciiTheme="majorHAnsi" w:hAnsiTheme="majorHAnsi" w:cs="Calibri"/>
          <w:b/>
          <w:bCs/>
          <w:color w:val="000000"/>
          <w:sz w:val="24"/>
          <w:szCs w:val="24"/>
          <w:shd w:val="clear" w:color="auto" w:fill="FFFFFF"/>
        </w:rPr>
        <w:t>Analysis Method</w:t>
      </w:r>
    </w:p>
    <w:p w14:paraId="4DE27DCA" w14:textId="31370B71" w:rsidR="00C65BCF" w:rsidRPr="004000B2" w:rsidRDefault="00C65BCF" w:rsidP="00C65BCF">
      <w:pPr>
        <w:pStyle w:val="ListParagraph"/>
        <w:numPr>
          <w:ilvl w:val="0"/>
          <w:numId w:val="47"/>
        </w:numPr>
        <w:spacing w:after="0"/>
        <w:ind w:right="26"/>
        <w:jc w:val="both"/>
        <w:rPr>
          <w:rFonts w:asciiTheme="majorHAnsi" w:hAnsiTheme="majorHAnsi" w:cs="Calibri"/>
          <w:color w:val="000000"/>
          <w:sz w:val="24"/>
          <w:szCs w:val="24"/>
          <w:shd w:val="clear" w:color="auto" w:fill="FFFFFF"/>
          <w:lang w:val="id-ID"/>
        </w:rPr>
      </w:pPr>
      <w:r>
        <w:rPr>
          <w:rFonts w:asciiTheme="majorHAnsi" w:hAnsiTheme="majorHAnsi" w:cs="Calibri"/>
          <w:color w:val="000000"/>
          <w:sz w:val="24"/>
          <w:szCs w:val="24"/>
          <w:shd w:val="clear" w:color="auto" w:fill="FFFFFF"/>
          <w:lang w:val="id-ID"/>
        </w:rPr>
        <w:t xml:space="preserve">Stage 1: </w:t>
      </w:r>
      <w:r w:rsidRPr="00C65BCF">
        <w:rPr>
          <w:rFonts w:asciiTheme="majorHAnsi" w:hAnsiTheme="majorHAnsi" w:cs="Calibri"/>
          <w:color w:val="000000"/>
          <w:sz w:val="24"/>
          <w:szCs w:val="24"/>
          <w:shd w:val="clear" w:color="auto" w:fill="FFFFFF"/>
        </w:rPr>
        <w:t>Calculation of Indonesian Islamic Bank Efficiency using Data Envelopment Analysis (DEA) techniques</w:t>
      </w:r>
    </w:p>
    <w:p w14:paraId="505DF8E4" w14:textId="79954AF6" w:rsidR="00484A94" w:rsidRDefault="00753895" w:rsidP="00767B86">
      <w:pPr>
        <w:pStyle w:val="ListParagraph"/>
        <w:spacing w:after="0"/>
        <w:ind w:left="648" w:right="29" w:firstLine="720"/>
        <w:jc w:val="both"/>
        <w:rPr>
          <w:rFonts w:asciiTheme="majorHAnsi" w:hAnsiTheme="majorHAnsi" w:cs="Calibri"/>
          <w:color w:val="000000"/>
          <w:sz w:val="24"/>
          <w:szCs w:val="24"/>
          <w:shd w:val="clear" w:color="auto" w:fill="FFFFFF"/>
        </w:rPr>
      </w:pPr>
      <w:r w:rsidRPr="00753895">
        <w:rPr>
          <w:rFonts w:asciiTheme="majorHAnsi" w:hAnsiTheme="majorHAnsi" w:cs="Calibri"/>
          <w:color w:val="000000"/>
          <w:sz w:val="24"/>
          <w:szCs w:val="24"/>
          <w:shd w:val="clear" w:color="auto" w:fill="FFFFFF"/>
        </w:rPr>
        <w:t xml:space="preserve">In this study, non-parametric analysis is applied in conjunction with Data Analysis Envelopment (DEA). The DEA method used to evaluate the </w:t>
      </w:r>
      <w:r w:rsidRPr="00753895">
        <w:rPr>
          <w:rFonts w:asciiTheme="majorHAnsi" w:hAnsiTheme="majorHAnsi" w:cs="Calibri"/>
          <w:color w:val="000000"/>
          <w:sz w:val="24"/>
          <w:szCs w:val="24"/>
          <w:shd w:val="clear" w:color="auto" w:fill="FFFFFF"/>
        </w:rPr>
        <w:lastRenderedPageBreak/>
        <w:t>performance of an entity, by using the analysis it is possible to find out which units and which factors need to be improved in that unit as well as to calculate the efficiency value to find out whether or not there is an increase in performance. The variable used to calculate DEA here is ROA.</w:t>
      </w:r>
    </w:p>
    <w:p w14:paraId="6F69C962" w14:textId="77777777" w:rsidR="00767B86" w:rsidRPr="00767B86" w:rsidRDefault="00767B86" w:rsidP="00767B86">
      <w:pPr>
        <w:pStyle w:val="ListParagraph"/>
        <w:spacing w:after="0"/>
        <w:ind w:left="648" w:right="29" w:firstLine="720"/>
        <w:jc w:val="both"/>
        <w:rPr>
          <w:rFonts w:asciiTheme="majorHAnsi" w:hAnsiTheme="majorHAnsi" w:cs="Calibri"/>
          <w:color w:val="000000"/>
          <w:sz w:val="24"/>
          <w:szCs w:val="24"/>
          <w:shd w:val="clear" w:color="auto" w:fill="FFFFFF"/>
        </w:rPr>
      </w:pPr>
    </w:p>
    <w:p w14:paraId="2E2DD9F4" w14:textId="426359E2" w:rsidR="00753895" w:rsidRPr="00484A94" w:rsidRDefault="00753895" w:rsidP="00484A94">
      <w:pPr>
        <w:spacing w:after="0"/>
        <w:ind w:right="29"/>
        <w:jc w:val="center"/>
        <w:rPr>
          <w:rFonts w:asciiTheme="majorHAnsi" w:hAnsiTheme="majorHAnsi" w:cs="Calibri"/>
          <w:color w:val="000000"/>
          <w:sz w:val="24"/>
          <w:szCs w:val="24"/>
          <w:shd w:val="clear" w:color="auto" w:fill="FFFFFF"/>
          <w:lang w:val="id-ID"/>
        </w:rPr>
      </w:pPr>
      <w:r w:rsidRPr="00484A94">
        <w:rPr>
          <w:rFonts w:asciiTheme="majorHAnsi" w:hAnsiTheme="majorHAnsi" w:cs="Calibri"/>
          <w:color w:val="000000"/>
          <w:sz w:val="24"/>
          <w:szCs w:val="24"/>
          <w:shd w:val="clear" w:color="auto" w:fill="FFFFFF"/>
          <w:lang w:val="id-ID"/>
        </w:rPr>
        <w:t>Tabel 2</w:t>
      </w:r>
      <w:r w:rsidR="00484A94" w:rsidRPr="00484A94">
        <w:rPr>
          <w:rFonts w:asciiTheme="majorHAnsi" w:hAnsiTheme="majorHAnsi" w:cs="Calibri"/>
          <w:color w:val="000000"/>
          <w:sz w:val="24"/>
          <w:szCs w:val="24"/>
          <w:shd w:val="clear" w:color="auto" w:fill="FFFFFF"/>
          <w:lang w:val="id-ID"/>
        </w:rPr>
        <w:t xml:space="preserve">. </w:t>
      </w:r>
      <w:r w:rsidR="00484A94" w:rsidRPr="00484A94">
        <w:rPr>
          <w:rFonts w:asciiTheme="majorHAnsi" w:hAnsiTheme="majorHAnsi" w:cs="Calibri"/>
          <w:color w:val="000000"/>
          <w:sz w:val="24"/>
          <w:szCs w:val="24"/>
          <w:shd w:val="clear" w:color="auto" w:fill="FFFFFF"/>
        </w:rPr>
        <w:t>Return on Assets of Indonesian Islamic Banks</w:t>
      </w:r>
    </w:p>
    <w:tbl>
      <w:tblPr>
        <w:tblW w:w="4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086"/>
        <w:gridCol w:w="985"/>
        <w:gridCol w:w="990"/>
      </w:tblGrid>
      <w:tr w:rsidR="00484A94" w:rsidRPr="00484A94" w14:paraId="481235F4" w14:textId="77777777" w:rsidTr="00484A94">
        <w:trPr>
          <w:trHeight w:val="280"/>
          <w:jc w:val="center"/>
        </w:trPr>
        <w:tc>
          <w:tcPr>
            <w:tcW w:w="1450" w:type="dxa"/>
            <w:vAlign w:val="center"/>
            <w:hideMark/>
          </w:tcPr>
          <w:p w14:paraId="462FCC12" w14:textId="77777777" w:rsidR="00484A94" w:rsidRPr="00484A94" w:rsidRDefault="00484A94" w:rsidP="00484A94">
            <w:pPr>
              <w:widowControl w:val="0"/>
              <w:spacing w:after="0" w:line="240" w:lineRule="auto"/>
              <w:jc w:val="center"/>
              <w:rPr>
                <w:rFonts w:asciiTheme="majorHAnsi" w:eastAsia="Times New Roman" w:hAnsiTheme="majorHAnsi" w:cs="Times New Roman"/>
                <w:sz w:val="24"/>
                <w:szCs w:val="24"/>
              </w:rPr>
            </w:pPr>
            <w:r w:rsidRPr="00484A94">
              <w:rPr>
                <w:rFonts w:asciiTheme="majorHAnsi" w:eastAsia="Times New Roman" w:hAnsiTheme="majorHAnsi" w:cs="Times New Roman"/>
                <w:sz w:val="24"/>
                <w:szCs w:val="24"/>
              </w:rPr>
              <w:t>Description</w:t>
            </w:r>
          </w:p>
        </w:tc>
        <w:tc>
          <w:tcPr>
            <w:tcW w:w="1086" w:type="dxa"/>
            <w:vAlign w:val="center"/>
            <w:hideMark/>
          </w:tcPr>
          <w:p w14:paraId="32B499C5" w14:textId="77777777" w:rsidR="00484A94" w:rsidRPr="00484A94" w:rsidRDefault="00484A94" w:rsidP="00484A94">
            <w:pPr>
              <w:widowControl w:val="0"/>
              <w:spacing w:after="0" w:line="240" w:lineRule="auto"/>
              <w:jc w:val="center"/>
              <w:rPr>
                <w:rFonts w:asciiTheme="majorHAnsi" w:eastAsia="Times New Roman" w:hAnsiTheme="majorHAnsi" w:cs="Times New Roman"/>
                <w:sz w:val="24"/>
                <w:szCs w:val="24"/>
              </w:rPr>
            </w:pPr>
            <w:r w:rsidRPr="00484A94">
              <w:rPr>
                <w:rFonts w:asciiTheme="majorHAnsi" w:eastAsia="Times New Roman" w:hAnsiTheme="majorHAnsi" w:cs="Times New Roman"/>
                <w:sz w:val="24"/>
                <w:szCs w:val="24"/>
              </w:rPr>
              <w:t>2021</w:t>
            </w:r>
          </w:p>
        </w:tc>
        <w:tc>
          <w:tcPr>
            <w:tcW w:w="985" w:type="dxa"/>
            <w:vAlign w:val="center"/>
            <w:hideMark/>
          </w:tcPr>
          <w:p w14:paraId="557BDC21" w14:textId="77777777" w:rsidR="00484A94" w:rsidRPr="00484A94" w:rsidRDefault="00484A94" w:rsidP="00484A94">
            <w:pPr>
              <w:widowControl w:val="0"/>
              <w:spacing w:after="0" w:line="240" w:lineRule="auto"/>
              <w:jc w:val="center"/>
              <w:rPr>
                <w:rFonts w:asciiTheme="majorHAnsi" w:eastAsia="Times New Roman" w:hAnsiTheme="majorHAnsi" w:cs="Times New Roman"/>
                <w:sz w:val="24"/>
                <w:szCs w:val="24"/>
              </w:rPr>
            </w:pPr>
            <w:r w:rsidRPr="00484A94">
              <w:rPr>
                <w:rFonts w:asciiTheme="majorHAnsi" w:eastAsia="Times New Roman" w:hAnsiTheme="majorHAnsi" w:cs="Times New Roman"/>
                <w:sz w:val="24"/>
                <w:szCs w:val="24"/>
              </w:rPr>
              <w:t>2020</w:t>
            </w:r>
          </w:p>
        </w:tc>
        <w:tc>
          <w:tcPr>
            <w:tcW w:w="990" w:type="dxa"/>
            <w:vAlign w:val="center"/>
            <w:hideMark/>
          </w:tcPr>
          <w:p w14:paraId="0BB8B55C" w14:textId="77777777" w:rsidR="00484A94" w:rsidRPr="00484A94" w:rsidRDefault="00484A94" w:rsidP="00484A94">
            <w:pPr>
              <w:widowControl w:val="0"/>
              <w:spacing w:after="0" w:line="240" w:lineRule="auto"/>
              <w:jc w:val="center"/>
              <w:rPr>
                <w:rFonts w:asciiTheme="majorHAnsi" w:eastAsia="Times New Roman" w:hAnsiTheme="majorHAnsi" w:cs="Times New Roman"/>
                <w:sz w:val="24"/>
                <w:szCs w:val="24"/>
              </w:rPr>
            </w:pPr>
            <w:r w:rsidRPr="00484A94">
              <w:rPr>
                <w:rFonts w:asciiTheme="majorHAnsi" w:eastAsia="Times New Roman" w:hAnsiTheme="majorHAnsi" w:cs="Times New Roman"/>
                <w:sz w:val="24"/>
                <w:szCs w:val="24"/>
              </w:rPr>
              <w:t>2019</w:t>
            </w:r>
          </w:p>
        </w:tc>
      </w:tr>
      <w:tr w:rsidR="00484A94" w:rsidRPr="00484A94" w14:paraId="67F6E0E4" w14:textId="77777777" w:rsidTr="00767B86">
        <w:trPr>
          <w:trHeight w:val="323"/>
          <w:jc w:val="center"/>
        </w:trPr>
        <w:tc>
          <w:tcPr>
            <w:tcW w:w="1450" w:type="dxa"/>
            <w:vAlign w:val="center"/>
            <w:hideMark/>
          </w:tcPr>
          <w:p w14:paraId="7DACBFEE" w14:textId="77777777" w:rsidR="00484A94" w:rsidRPr="00484A94" w:rsidRDefault="00484A94" w:rsidP="00484A94">
            <w:pPr>
              <w:widowControl w:val="0"/>
              <w:spacing w:after="0" w:line="240" w:lineRule="auto"/>
              <w:jc w:val="center"/>
              <w:rPr>
                <w:rFonts w:asciiTheme="majorHAnsi" w:eastAsia="Times New Roman" w:hAnsiTheme="majorHAnsi" w:cs="Times New Roman"/>
                <w:sz w:val="24"/>
                <w:szCs w:val="24"/>
              </w:rPr>
            </w:pPr>
            <w:r w:rsidRPr="00484A94">
              <w:rPr>
                <w:rFonts w:asciiTheme="majorHAnsi" w:eastAsia="Times New Roman" w:hAnsiTheme="majorHAnsi" w:cs="Times New Roman"/>
                <w:sz w:val="24"/>
                <w:szCs w:val="24"/>
              </w:rPr>
              <w:t>ROA</w:t>
            </w:r>
          </w:p>
        </w:tc>
        <w:tc>
          <w:tcPr>
            <w:tcW w:w="1086" w:type="dxa"/>
            <w:vAlign w:val="center"/>
            <w:hideMark/>
          </w:tcPr>
          <w:p w14:paraId="674C1C0C" w14:textId="77777777" w:rsidR="00484A94" w:rsidRPr="00484A94" w:rsidRDefault="00484A94" w:rsidP="00484A94">
            <w:pPr>
              <w:widowControl w:val="0"/>
              <w:spacing w:after="0" w:line="240" w:lineRule="auto"/>
              <w:jc w:val="center"/>
              <w:rPr>
                <w:rFonts w:asciiTheme="majorHAnsi" w:eastAsia="Times New Roman" w:hAnsiTheme="majorHAnsi" w:cs="Times New Roman"/>
                <w:sz w:val="24"/>
                <w:szCs w:val="24"/>
              </w:rPr>
            </w:pPr>
            <w:r w:rsidRPr="00484A94">
              <w:rPr>
                <w:rFonts w:asciiTheme="majorHAnsi" w:eastAsia="Times New Roman" w:hAnsiTheme="majorHAnsi" w:cs="Times New Roman"/>
                <w:sz w:val="24"/>
                <w:szCs w:val="24"/>
              </w:rPr>
              <w:t>0,0161</w:t>
            </w:r>
          </w:p>
        </w:tc>
        <w:tc>
          <w:tcPr>
            <w:tcW w:w="985" w:type="dxa"/>
            <w:vAlign w:val="center"/>
            <w:hideMark/>
          </w:tcPr>
          <w:p w14:paraId="6DDCEBAC" w14:textId="77777777" w:rsidR="00484A94" w:rsidRPr="00484A94" w:rsidRDefault="00484A94" w:rsidP="00484A94">
            <w:pPr>
              <w:widowControl w:val="0"/>
              <w:spacing w:after="0" w:line="240" w:lineRule="auto"/>
              <w:jc w:val="center"/>
              <w:rPr>
                <w:rFonts w:asciiTheme="majorHAnsi" w:eastAsia="Times New Roman" w:hAnsiTheme="majorHAnsi" w:cs="Times New Roman"/>
                <w:sz w:val="24"/>
                <w:szCs w:val="24"/>
              </w:rPr>
            </w:pPr>
            <w:r w:rsidRPr="00484A94">
              <w:rPr>
                <w:rFonts w:asciiTheme="majorHAnsi" w:eastAsia="Times New Roman" w:hAnsiTheme="majorHAnsi" w:cs="Times New Roman"/>
                <w:sz w:val="24"/>
                <w:szCs w:val="24"/>
              </w:rPr>
              <w:t>0,0138</w:t>
            </w:r>
          </w:p>
        </w:tc>
        <w:tc>
          <w:tcPr>
            <w:tcW w:w="990" w:type="dxa"/>
            <w:vAlign w:val="center"/>
            <w:hideMark/>
          </w:tcPr>
          <w:p w14:paraId="4F4A143A" w14:textId="77777777" w:rsidR="00484A94" w:rsidRPr="00484A94" w:rsidRDefault="00484A94" w:rsidP="00484A94">
            <w:pPr>
              <w:widowControl w:val="0"/>
              <w:spacing w:after="0" w:line="240" w:lineRule="auto"/>
              <w:jc w:val="center"/>
              <w:rPr>
                <w:rFonts w:asciiTheme="majorHAnsi" w:eastAsia="Times New Roman" w:hAnsiTheme="majorHAnsi" w:cs="Times New Roman"/>
                <w:sz w:val="24"/>
                <w:szCs w:val="24"/>
              </w:rPr>
            </w:pPr>
            <w:r w:rsidRPr="00484A94">
              <w:rPr>
                <w:rFonts w:asciiTheme="majorHAnsi" w:eastAsia="Times New Roman" w:hAnsiTheme="majorHAnsi" w:cs="Times New Roman"/>
                <w:sz w:val="24"/>
                <w:szCs w:val="24"/>
              </w:rPr>
              <w:t>0,0144</w:t>
            </w:r>
          </w:p>
        </w:tc>
      </w:tr>
    </w:tbl>
    <w:p w14:paraId="616E1FDD" w14:textId="77777777" w:rsidR="00484A94" w:rsidRDefault="00484A94" w:rsidP="00753895">
      <w:pPr>
        <w:pStyle w:val="ListParagraph"/>
        <w:spacing w:after="0"/>
        <w:ind w:left="648" w:right="29" w:firstLine="720"/>
        <w:jc w:val="both"/>
        <w:rPr>
          <w:rFonts w:asciiTheme="majorHAnsi" w:hAnsiTheme="majorHAnsi" w:cs="Calibri"/>
          <w:color w:val="000000"/>
          <w:sz w:val="24"/>
          <w:szCs w:val="24"/>
          <w:shd w:val="clear" w:color="auto" w:fill="FFFFFF"/>
          <w:lang w:val="id-ID"/>
        </w:rPr>
      </w:pPr>
    </w:p>
    <w:p w14:paraId="4F575928" w14:textId="09D95247" w:rsidR="00753895" w:rsidRDefault="00753895" w:rsidP="00753895">
      <w:pPr>
        <w:pStyle w:val="ListParagraph"/>
        <w:spacing w:after="0"/>
        <w:ind w:left="648" w:right="29" w:firstLine="720"/>
        <w:jc w:val="both"/>
        <w:rPr>
          <w:rFonts w:asciiTheme="majorHAnsi" w:hAnsiTheme="majorHAnsi" w:cs="Calibri"/>
          <w:color w:val="000000"/>
          <w:sz w:val="24"/>
          <w:szCs w:val="24"/>
          <w:shd w:val="clear" w:color="auto" w:fill="FFFFFF"/>
          <w:lang w:val="id-ID"/>
        </w:rPr>
      </w:pPr>
      <w:r w:rsidRPr="00753895">
        <w:rPr>
          <w:rFonts w:asciiTheme="majorHAnsi" w:hAnsiTheme="majorHAnsi" w:cs="Calibri"/>
          <w:color w:val="000000"/>
          <w:sz w:val="24"/>
          <w:szCs w:val="24"/>
          <w:shd w:val="clear" w:color="auto" w:fill="FFFFFF"/>
        </w:rPr>
        <w:t>The following technique applied for calculating the efficiency of Bank Syariah Indonesia from 2019 to 2021</w:t>
      </w:r>
      <w:r>
        <w:rPr>
          <w:rFonts w:asciiTheme="majorHAnsi" w:hAnsiTheme="majorHAnsi" w:cs="Calibri"/>
          <w:color w:val="000000"/>
          <w:sz w:val="24"/>
          <w:szCs w:val="24"/>
          <w:shd w:val="clear" w:color="auto" w:fill="FFFFFF"/>
          <w:lang w:val="id-ID"/>
        </w:rPr>
        <w:t>.</w:t>
      </w:r>
    </w:p>
    <w:p w14:paraId="5CF76FC8" w14:textId="1AB63E99" w:rsidR="00753895" w:rsidRPr="00753895" w:rsidRDefault="00753895" w:rsidP="00753895">
      <w:pPr>
        <w:pStyle w:val="ListParagraph"/>
        <w:spacing w:after="0"/>
        <w:ind w:left="648" w:right="29"/>
        <w:jc w:val="both"/>
        <w:rPr>
          <w:rFonts w:asciiTheme="majorHAnsi" w:hAnsiTheme="majorHAnsi" w:cs="Calibri"/>
          <w:color w:val="000000"/>
          <w:sz w:val="24"/>
          <w:szCs w:val="24"/>
          <w:shd w:val="clear" w:color="auto" w:fill="FFFFFF"/>
          <w:lang w:val="id-ID"/>
        </w:rPr>
      </w:pPr>
      <w:r w:rsidRPr="00753895">
        <w:rPr>
          <w:rFonts w:asciiTheme="majorHAnsi" w:hAnsiTheme="majorHAnsi" w:cs="Calibri"/>
          <w:color w:val="000000"/>
          <w:sz w:val="24"/>
          <w:szCs w:val="24"/>
          <w:shd w:val="clear" w:color="auto" w:fill="FFFFFF"/>
        </w:rPr>
        <w:t>Information</w:t>
      </w:r>
      <w:r>
        <w:rPr>
          <w:rFonts w:asciiTheme="majorHAnsi" w:hAnsiTheme="majorHAnsi" w:cs="Calibri"/>
          <w:color w:val="000000"/>
          <w:sz w:val="24"/>
          <w:szCs w:val="24"/>
          <w:shd w:val="clear" w:color="auto" w:fill="FFFFFF"/>
          <w:lang w:val="id-ID"/>
        </w:rPr>
        <w:t>:</w:t>
      </w:r>
      <w:r>
        <w:rPr>
          <w:noProof/>
          <w:lang w:eastAsia="ja-JP"/>
        </w:rPr>
        <w:drawing>
          <wp:inline distT="0" distB="0" distL="0" distR="0" wp14:anchorId="0145EEF6" wp14:editId="7224D6C8">
            <wp:extent cx="5193030" cy="443865"/>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12">
                      <a:extLst>
                        <a:ext uri="{BEBA8EAE-BF5A-486C-A8C5-ECC9F3942E4B}">
                          <a14:imgProps xmlns:a14="http://schemas.microsoft.com/office/drawing/2010/main">
                            <a14:imgLayer r:embed="rId13">
                              <a14:imgEffect>
                                <a14:sharpenSoften amount="50000"/>
                              </a14:imgEffect>
                            </a14:imgLayer>
                          </a14:imgProps>
                        </a:ext>
                      </a:extLst>
                    </a:blip>
                    <a:srcRect/>
                    <a:stretch>
                      <a:fillRect/>
                    </a:stretch>
                  </pic:blipFill>
                  <pic:spPr>
                    <a:xfrm>
                      <a:off x="0" y="0"/>
                      <a:ext cx="5193030" cy="443865"/>
                    </a:xfrm>
                    <a:prstGeom prst="rect">
                      <a:avLst/>
                    </a:prstGeom>
                    <a:ln/>
                  </pic:spPr>
                </pic:pic>
              </a:graphicData>
            </a:graphic>
          </wp:inline>
        </w:drawing>
      </w:r>
    </w:p>
    <w:p w14:paraId="32D55ADA" w14:textId="77777777" w:rsidR="00753895" w:rsidRPr="00753895" w:rsidRDefault="00753895" w:rsidP="00753895">
      <w:pPr>
        <w:pStyle w:val="ListParagraph"/>
        <w:ind w:left="648" w:right="29"/>
        <w:rPr>
          <w:rFonts w:asciiTheme="majorHAnsi" w:hAnsiTheme="majorHAnsi" w:cs="Calibri"/>
          <w:color w:val="000000"/>
          <w:sz w:val="24"/>
          <w:szCs w:val="24"/>
          <w:shd w:val="clear" w:color="auto" w:fill="FFFFFF"/>
        </w:rPr>
      </w:pPr>
      <w:r w:rsidRPr="00753895">
        <w:rPr>
          <w:rFonts w:asciiTheme="majorHAnsi" w:hAnsiTheme="majorHAnsi" w:cs="Calibri"/>
          <w:color w:val="000000"/>
          <w:sz w:val="24"/>
          <w:szCs w:val="24"/>
          <w:shd w:val="clear" w:color="auto" w:fill="FFFFFF"/>
        </w:rPr>
        <w:t>E : Efficiency</w:t>
      </w:r>
    </w:p>
    <w:p w14:paraId="3E0B3217" w14:textId="77777777" w:rsidR="00753895" w:rsidRPr="00753895" w:rsidRDefault="00753895" w:rsidP="00753895">
      <w:pPr>
        <w:pStyle w:val="ListParagraph"/>
        <w:ind w:left="648" w:right="29"/>
        <w:rPr>
          <w:rFonts w:asciiTheme="majorHAnsi" w:hAnsiTheme="majorHAnsi" w:cs="Calibri"/>
          <w:color w:val="000000"/>
          <w:sz w:val="24"/>
          <w:szCs w:val="24"/>
          <w:shd w:val="clear" w:color="auto" w:fill="FFFFFF"/>
        </w:rPr>
      </w:pPr>
      <w:r w:rsidRPr="00753895">
        <w:rPr>
          <w:rFonts w:asciiTheme="majorHAnsi" w:hAnsiTheme="majorHAnsi" w:cs="Calibri"/>
          <w:color w:val="000000"/>
          <w:sz w:val="24"/>
          <w:szCs w:val="24"/>
          <w:shd w:val="clear" w:color="auto" w:fill="FFFFFF"/>
        </w:rPr>
        <w:t>v1 : ROA of the previous year v2 : ROA</w:t>
      </w:r>
    </w:p>
    <w:p w14:paraId="4E8D6E7A" w14:textId="5879605C" w:rsidR="00753895" w:rsidRPr="00753895" w:rsidRDefault="00753895" w:rsidP="00753895">
      <w:pPr>
        <w:pStyle w:val="ListParagraph"/>
        <w:ind w:left="648" w:right="29"/>
        <w:rPr>
          <w:rFonts w:asciiTheme="majorHAnsi" w:hAnsiTheme="majorHAnsi" w:cs="Calibri"/>
          <w:color w:val="000000"/>
          <w:sz w:val="24"/>
          <w:szCs w:val="24"/>
          <w:shd w:val="clear" w:color="auto" w:fill="FFFFFF"/>
        </w:rPr>
      </w:pPr>
      <w:r w:rsidRPr="00753895">
        <w:rPr>
          <w:rFonts w:asciiTheme="majorHAnsi" w:hAnsiTheme="majorHAnsi" w:cs="Calibri"/>
          <w:color w:val="000000"/>
          <w:sz w:val="24"/>
          <w:szCs w:val="24"/>
          <w:shd w:val="clear" w:color="auto" w:fill="FFFFFF"/>
        </w:rPr>
        <w:t>Current year</w:t>
      </w:r>
    </w:p>
    <w:p w14:paraId="22D41B29" w14:textId="77777777" w:rsidR="00753895" w:rsidRPr="00753895" w:rsidRDefault="00753895" w:rsidP="00753895">
      <w:pPr>
        <w:pStyle w:val="ListParagraph"/>
        <w:ind w:left="648" w:right="29"/>
        <w:rPr>
          <w:rFonts w:asciiTheme="majorHAnsi" w:hAnsiTheme="majorHAnsi" w:cs="Calibri"/>
          <w:color w:val="000000"/>
          <w:sz w:val="24"/>
          <w:szCs w:val="24"/>
          <w:shd w:val="clear" w:color="auto" w:fill="FFFFFF"/>
        </w:rPr>
      </w:pPr>
      <w:r w:rsidRPr="00753895">
        <w:rPr>
          <w:rFonts w:asciiTheme="majorHAnsi" w:hAnsiTheme="majorHAnsi" w:cs="Calibri"/>
          <w:color w:val="000000"/>
          <w:sz w:val="24"/>
          <w:szCs w:val="24"/>
          <w:shd w:val="clear" w:color="auto" w:fill="FFFFFF"/>
        </w:rPr>
        <w:t>From the given data from table 1.2 we will get efficiency values for 2020 and 2021. Here is the calculation process</w:t>
      </w:r>
    </w:p>
    <w:p w14:paraId="7A7FFBAD" w14:textId="3E22A965" w:rsidR="00753895" w:rsidRDefault="00753895" w:rsidP="00753895">
      <w:pPr>
        <w:pStyle w:val="ListParagraph"/>
        <w:spacing w:after="0"/>
        <w:ind w:left="648" w:right="29"/>
        <w:jc w:val="both"/>
        <w:rPr>
          <w:rFonts w:asciiTheme="majorHAnsi" w:hAnsiTheme="majorHAnsi" w:cs="Calibri"/>
          <w:color w:val="000000"/>
          <w:sz w:val="24"/>
          <w:szCs w:val="24"/>
          <w:shd w:val="clear" w:color="auto" w:fill="FFFFFF"/>
        </w:rPr>
      </w:pPr>
      <w:r w:rsidRPr="00753895">
        <w:rPr>
          <w:rFonts w:asciiTheme="majorHAnsi" w:hAnsiTheme="majorHAnsi" w:cs="Calibri"/>
          <w:color w:val="000000"/>
          <w:sz w:val="24"/>
          <w:szCs w:val="24"/>
          <w:shd w:val="clear" w:color="auto" w:fill="FFFFFF"/>
        </w:rPr>
        <w:t>Efficiency value 2020</w:t>
      </w:r>
    </w:p>
    <w:p w14:paraId="19FD4035" w14:textId="02174A30" w:rsidR="00753895" w:rsidRDefault="00753895" w:rsidP="00753895">
      <w:pPr>
        <w:pStyle w:val="ListParagraph"/>
        <w:spacing w:after="0"/>
        <w:ind w:left="648" w:right="29"/>
        <w:jc w:val="both"/>
        <w:rPr>
          <w:rFonts w:asciiTheme="majorHAnsi" w:hAnsiTheme="majorHAnsi" w:cs="Calibri"/>
          <w:color w:val="000000"/>
          <w:sz w:val="24"/>
          <w:szCs w:val="24"/>
          <w:shd w:val="clear" w:color="auto" w:fill="FFFFFF"/>
        </w:rPr>
      </w:pPr>
      <w:r>
        <w:rPr>
          <w:noProof/>
          <w:lang w:eastAsia="ja-JP"/>
        </w:rPr>
        <w:drawing>
          <wp:inline distT="0" distB="0" distL="0" distR="0" wp14:anchorId="5285BBE6" wp14:editId="158E7CB4">
            <wp:extent cx="5274310" cy="432435"/>
            <wp:effectExtent l="0" t="0" r="0" b="0"/>
            <wp:docPr id="19" name="image4.png"/>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4">
                      <a:extLst>
                        <a:ext uri="{BEBA8EAE-BF5A-486C-A8C5-ECC9F3942E4B}">
                          <a14:imgProps xmlns:a14="http://schemas.microsoft.com/office/drawing/2010/main">
                            <a14:imgLayer r:embed="rId15">
                              <a14:imgEffect>
                                <a14:sharpenSoften amount="50000"/>
                              </a14:imgEffect>
                            </a14:imgLayer>
                          </a14:imgProps>
                        </a:ext>
                      </a:extLst>
                    </a:blip>
                    <a:srcRect/>
                    <a:stretch>
                      <a:fillRect/>
                    </a:stretch>
                  </pic:blipFill>
                  <pic:spPr>
                    <a:xfrm>
                      <a:off x="0" y="0"/>
                      <a:ext cx="5274310" cy="432435"/>
                    </a:xfrm>
                    <a:prstGeom prst="rect">
                      <a:avLst/>
                    </a:prstGeom>
                    <a:ln/>
                  </pic:spPr>
                </pic:pic>
              </a:graphicData>
            </a:graphic>
          </wp:inline>
        </w:drawing>
      </w:r>
    </w:p>
    <w:p w14:paraId="1652CB60" w14:textId="71D60187" w:rsidR="00753895" w:rsidRDefault="00753895" w:rsidP="00753895">
      <w:pPr>
        <w:pStyle w:val="ListParagraph"/>
        <w:spacing w:after="0"/>
        <w:ind w:left="648" w:right="29"/>
        <w:jc w:val="both"/>
        <w:rPr>
          <w:rFonts w:asciiTheme="majorHAnsi" w:hAnsiTheme="majorHAnsi" w:cs="Calibri"/>
          <w:color w:val="000000"/>
          <w:sz w:val="24"/>
          <w:szCs w:val="24"/>
          <w:shd w:val="clear" w:color="auto" w:fill="FFFFFF"/>
        </w:rPr>
      </w:pPr>
      <w:r>
        <w:rPr>
          <w:noProof/>
          <w:lang w:eastAsia="ja-JP"/>
        </w:rPr>
        <w:drawing>
          <wp:inline distT="0" distB="0" distL="0" distR="0" wp14:anchorId="3A058477" wp14:editId="090F3F83">
            <wp:extent cx="5274310" cy="257175"/>
            <wp:effectExtent l="0" t="0" r="0" b="0"/>
            <wp:docPr id="22" name="image5.png"/>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a:extLst>
                        <a:ext uri="{BEBA8EAE-BF5A-486C-A8C5-ECC9F3942E4B}">
                          <a14:imgProps xmlns:a14="http://schemas.microsoft.com/office/drawing/2010/main">
                            <a14:imgLayer r:embed="rId17">
                              <a14:imgEffect>
                                <a14:sharpenSoften amount="50000"/>
                              </a14:imgEffect>
                            </a14:imgLayer>
                          </a14:imgProps>
                        </a:ext>
                      </a:extLst>
                    </a:blip>
                    <a:srcRect/>
                    <a:stretch>
                      <a:fillRect/>
                    </a:stretch>
                  </pic:blipFill>
                  <pic:spPr>
                    <a:xfrm>
                      <a:off x="0" y="0"/>
                      <a:ext cx="5274310" cy="257175"/>
                    </a:xfrm>
                    <a:prstGeom prst="rect">
                      <a:avLst/>
                    </a:prstGeom>
                    <a:ln/>
                  </pic:spPr>
                </pic:pic>
              </a:graphicData>
            </a:graphic>
          </wp:inline>
        </w:drawing>
      </w:r>
    </w:p>
    <w:p w14:paraId="29043EF6" w14:textId="761B9A39" w:rsidR="00753895" w:rsidRDefault="00753895" w:rsidP="00753895">
      <w:pPr>
        <w:pStyle w:val="ListParagraph"/>
        <w:spacing w:after="0"/>
        <w:ind w:left="648" w:right="29"/>
        <w:jc w:val="both"/>
        <w:rPr>
          <w:rFonts w:asciiTheme="majorHAnsi" w:hAnsiTheme="majorHAnsi" w:cs="Calibri"/>
          <w:color w:val="000000"/>
          <w:sz w:val="24"/>
          <w:szCs w:val="24"/>
          <w:shd w:val="clear" w:color="auto" w:fill="FFFFFF"/>
        </w:rPr>
      </w:pPr>
      <w:r w:rsidRPr="00753895">
        <w:rPr>
          <w:rFonts w:asciiTheme="majorHAnsi" w:hAnsiTheme="majorHAnsi" w:cs="Calibri"/>
          <w:color w:val="000000"/>
          <w:sz w:val="24"/>
          <w:szCs w:val="24"/>
          <w:shd w:val="clear" w:color="auto" w:fill="FFFFFF"/>
        </w:rPr>
        <w:t>Efficiency value in 2021</w:t>
      </w:r>
    </w:p>
    <w:p w14:paraId="43727B9E" w14:textId="2F98D686" w:rsidR="00753895" w:rsidRDefault="00E74168" w:rsidP="00753895">
      <w:pPr>
        <w:pStyle w:val="ListParagraph"/>
        <w:spacing w:after="0"/>
        <w:ind w:left="648" w:right="29"/>
        <w:jc w:val="both"/>
        <w:rPr>
          <w:rFonts w:asciiTheme="majorHAnsi" w:hAnsiTheme="majorHAnsi" w:cs="Calibri"/>
          <w:color w:val="000000"/>
          <w:sz w:val="24"/>
          <w:szCs w:val="24"/>
          <w:shd w:val="clear" w:color="auto" w:fill="FFFFFF"/>
          <w:lang w:val="id-ID"/>
        </w:rPr>
      </w:pPr>
      <w:r>
        <w:rPr>
          <w:noProof/>
          <w:lang w:eastAsia="ja-JP"/>
        </w:rPr>
        <w:drawing>
          <wp:inline distT="0" distB="0" distL="0" distR="0" wp14:anchorId="156AACAC" wp14:editId="2C8CB92A">
            <wp:extent cx="5274310" cy="689610"/>
            <wp:effectExtent l="0" t="0" r="0" b="0"/>
            <wp:docPr id="23" name="image3.png"/>
            <wp:cNvGraphicFramePr/>
            <a:graphic xmlns:a="http://schemas.openxmlformats.org/drawingml/2006/main">
              <a:graphicData uri="http://schemas.openxmlformats.org/drawingml/2006/picture">
                <pic:pic xmlns:pic="http://schemas.openxmlformats.org/drawingml/2006/picture">
                  <pic:nvPicPr>
                    <pic:cNvPr id="11" name="image3.png"/>
                    <pic:cNvPicPr/>
                  </pic:nvPicPr>
                  <pic:blipFill>
                    <a:blip r:embed="rId18">
                      <a:extLst>
                        <a:ext uri="{BEBA8EAE-BF5A-486C-A8C5-ECC9F3942E4B}">
                          <a14:imgProps xmlns:a14="http://schemas.microsoft.com/office/drawing/2010/main">
                            <a14:imgLayer r:embed="rId19">
                              <a14:imgEffect>
                                <a14:sharpenSoften amount="50000"/>
                              </a14:imgEffect>
                            </a14:imgLayer>
                          </a14:imgProps>
                        </a:ext>
                      </a:extLst>
                    </a:blip>
                    <a:srcRect/>
                    <a:stretch>
                      <a:fillRect/>
                    </a:stretch>
                  </pic:blipFill>
                  <pic:spPr>
                    <a:xfrm>
                      <a:off x="0" y="0"/>
                      <a:ext cx="5274310" cy="689610"/>
                    </a:xfrm>
                    <a:prstGeom prst="rect">
                      <a:avLst/>
                    </a:prstGeom>
                    <a:ln/>
                  </pic:spPr>
                </pic:pic>
              </a:graphicData>
            </a:graphic>
          </wp:inline>
        </w:drawing>
      </w:r>
    </w:p>
    <w:p w14:paraId="2DA847AB" w14:textId="308CE18E" w:rsidR="00E74168" w:rsidRDefault="00E74168" w:rsidP="00E74168">
      <w:pPr>
        <w:pStyle w:val="ListParagraph"/>
        <w:spacing w:after="0"/>
        <w:ind w:left="648" w:right="29" w:firstLine="720"/>
        <w:jc w:val="both"/>
        <w:rPr>
          <w:rFonts w:asciiTheme="majorHAnsi" w:hAnsiTheme="majorHAnsi" w:cs="Calibri"/>
          <w:color w:val="000000"/>
          <w:sz w:val="24"/>
          <w:szCs w:val="24"/>
          <w:shd w:val="clear" w:color="auto" w:fill="FFFFFF"/>
        </w:rPr>
      </w:pPr>
      <w:r w:rsidRPr="00E74168">
        <w:rPr>
          <w:rFonts w:asciiTheme="majorHAnsi" w:hAnsiTheme="majorHAnsi" w:cs="Calibri"/>
          <w:color w:val="000000"/>
          <w:sz w:val="24"/>
          <w:szCs w:val="24"/>
          <w:shd w:val="clear" w:color="auto" w:fill="FFFFFF"/>
        </w:rPr>
        <w:t>From the above calculation, the acquired ROA variable does not experience efficiency development in 2019-2020 since data result of -0.0006 or -0.06%, accordingly the absolute value used to assess the development of efficiency, which was 0.00001. In 2020-2021, there is an increase in term of efficiency of as much as 0.0023 or 0.23%. It can be concluded that the efficiency of Indonesian Islamic Banks decreased from 2019 to 2020, however an increase took place from 2020 to 2021.</w:t>
      </w:r>
    </w:p>
    <w:p w14:paraId="2CAEE519" w14:textId="77777777" w:rsidR="0089377B" w:rsidRPr="00753895" w:rsidRDefault="0089377B" w:rsidP="00E74168">
      <w:pPr>
        <w:pStyle w:val="ListParagraph"/>
        <w:spacing w:after="0"/>
        <w:ind w:left="648" w:right="29" w:firstLine="720"/>
        <w:jc w:val="both"/>
        <w:rPr>
          <w:rFonts w:asciiTheme="majorHAnsi" w:hAnsiTheme="majorHAnsi" w:cs="Calibri"/>
          <w:color w:val="000000"/>
          <w:sz w:val="24"/>
          <w:szCs w:val="24"/>
          <w:shd w:val="clear" w:color="auto" w:fill="FFFFFF"/>
          <w:lang w:val="id-ID"/>
        </w:rPr>
      </w:pPr>
    </w:p>
    <w:p w14:paraId="5BBCB65F" w14:textId="0674BF3C" w:rsidR="00C65BCF" w:rsidRPr="004000B2" w:rsidRDefault="00C65BCF" w:rsidP="00C65BCF">
      <w:pPr>
        <w:pStyle w:val="ListParagraph"/>
        <w:numPr>
          <w:ilvl w:val="0"/>
          <w:numId w:val="47"/>
        </w:numPr>
        <w:spacing w:after="0"/>
        <w:ind w:right="26"/>
        <w:jc w:val="both"/>
        <w:rPr>
          <w:rFonts w:asciiTheme="majorHAnsi" w:hAnsiTheme="majorHAnsi" w:cs="Calibri"/>
          <w:color w:val="000000"/>
          <w:sz w:val="24"/>
          <w:szCs w:val="24"/>
          <w:shd w:val="clear" w:color="auto" w:fill="FFFFFF"/>
          <w:lang w:val="id-ID"/>
        </w:rPr>
      </w:pPr>
      <w:r w:rsidRPr="00C65BCF">
        <w:rPr>
          <w:rFonts w:asciiTheme="majorHAnsi" w:hAnsiTheme="majorHAnsi" w:cs="Calibri"/>
          <w:color w:val="000000"/>
          <w:sz w:val="24"/>
          <w:szCs w:val="24"/>
          <w:shd w:val="clear" w:color="auto" w:fill="FFFFFF"/>
        </w:rPr>
        <w:t>Stage 2: Methodological Approach incorporating spiritual worship values</w:t>
      </w:r>
    </w:p>
    <w:p w14:paraId="49C8A1EE" w14:textId="10167B2E" w:rsidR="004000B2" w:rsidRDefault="00394819" w:rsidP="00394819">
      <w:pPr>
        <w:pStyle w:val="ListParagraph"/>
        <w:spacing w:after="0"/>
        <w:ind w:left="648" w:right="26"/>
        <w:jc w:val="both"/>
        <w:rPr>
          <w:rFonts w:asciiTheme="majorHAnsi" w:hAnsiTheme="majorHAnsi" w:cs="Calibri"/>
          <w:color w:val="000000"/>
          <w:sz w:val="24"/>
          <w:szCs w:val="24"/>
          <w:shd w:val="clear" w:color="auto" w:fill="FFFFFF"/>
        </w:rPr>
      </w:pPr>
      <w:r w:rsidRPr="00394819">
        <w:rPr>
          <w:rFonts w:asciiTheme="majorHAnsi" w:hAnsiTheme="majorHAnsi" w:cs="Calibri"/>
          <w:color w:val="000000"/>
          <w:sz w:val="24"/>
          <w:szCs w:val="24"/>
          <w:shd w:val="clear" w:color="auto" w:fill="FFFFFF"/>
        </w:rPr>
        <w:t>Spiritual Prayer Value Intermediation</w:t>
      </w:r>
    </w:p>
    <w:p w14:paraId="5CFDA2A8" w14:textId="0BE65F42" w:rsidR="00394819" w:rsidRDefault="00394819" w:rsidP="00394819">
      <w:pPr>
        <w:pStyle w:val="ListParagraph"/>
        <w:spacing w:after="0"/>
        <w:ind w:left="648" w:right="29" w:firstLine="720"/>
        <w:jc w:val="both"/>
        <w:rPr>
          <w:rFonts w:asciiTheme="majorHAnsi" w:hAnsiTheme="majorHAnsi" w:cs="Calibri"/>
          <w:color w:val="000000"/>
          <w:sz w:val="24"/>
          <w:szCs w:val="24"/>
          <w:shd w:val="clear" w:color="auto" w:fill="FFFFFF"/>
        </w:rPr>
      </w:pPr>
      <w:r w:rsidRPr="00394819">
        <w:rPr>
          <w:rFonts w:asciiTheme="majorHAnsi" w:hAnsiTheme="majorHAnsi" w:cs="Calibri"/>
          <w:color w:val="000000"/>
          <w:sz w:val="24"/>
          <w:szCs w:val="24"/>
          <w:shd w:val="clear" w:color="auto" w:fill="FFFFFF"/>
        </w:rPr>
        <w:t xml:space="preserve">In this study, the benchmark concept used in explaining the Islamic connection with the level of efficiency at Bank Syariah Indonesia is the praying spirit and obedience of Bank Syariah Indonesia employees carrying out congregational prayers, number of rows of prayer, and prayer rooms. </w:t>
      </w:r>
      <w:r w:rsidRPr="00394819">
        <w:rPr>
          <w:rFonts w:asciiTheme="majorHAnsi" w:hAnsiTheme="majorHAnsi" w:cs="Calibri"/>
          <w:color w:val="000000"/>
          <w:sz w:val="24"/>
          <w:szCs w:val="24"/>
          <w:shd w:val="clear" w:color="auto" w:fill="FFFFFF"/>
        </w:rPr>
        <w:lastRenderedPageBreak/>
        <w:t>By utilizing the concept, it can evaluate the efficiency level of the bank's performance where Islamic values are in line with Islamic guidelines. The following is an assessment of the weight of prayer that is used to explain the relationship between Islam and efficiency at Indonesian Islamic Banks (Bahri, B., 2018).</w:t>
      </w:r>
    </w:p>
    <w:p w14:paraId="76A561F3" w14:textId="492E6F1B" w:rsidR="00C623C2" w:rsidRPr="000C2168" w:rsidRDefault="00C623C2" w:rsidP="000C2168">
      <w:pPr>
        <w:spacing w:after="0"/>
        <w:ind w:right="29"/>
        <w:jc w:val="center"/>
        <w:rPr>
          <w:rFonts w:asciiTheme="majorHAnsi" w:hAnsiTheme="majorHAnsi" w:cs="Calibri"/>
          <w:color w:val="000000"/>
          <w:sz w:val="24"/>
          <w:szCs w:val="24"/>
          <w:shd w:val="clear" w:color="auto" w:fill="FFFFFF"/>
        </w:rPr>
      </w:pPr>
      <w:r w:rsidRPr="000C2168">
        <w:rPr>
          <w:rFonts w:asciiTheme="majorHAnsi" w:hAnsiTheme="majorHAnsi" w:cs="Calibri"/>
          <w:color w:val="000000"/>
          <w:sz w:val="24"/>
          <w:szCs w:val="24"/>
          <w:shd w:val="clear" w:color="auto" w:fill="FFFFFF"/>
          <w:lang w:val="id-ID"/>
        </w:rPr>
        <w:t xml:space="preserve">Tabel 3. </w:t>
      </w:r>
      <w:r w:rsidR="000C2168" w:rsidRPr="000C2168">
        <w:rPr>
          <w:rFonts w:asciiTheme="majorHAnsi" w:hAnsiTheme="majorHAnsi" w:cs="Calibri"/>
          <w:color w:val="000000"/>
          <w:sz w:val="24"/>
          <w:szCs w:val="24"/>
          <w:shd w:val="clear" w:color="auto" w:fill="FFFFFF"/>
        </w:rPr>
        <w:t>Weight of Prayer Rating</w:t>
      </w:r>
    </w:p>
    <w:tbl>
      <w:tblPr>
        <w:tblW w:w="2885" w:type="dxa"/>
        <w:tblInd w:w="2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08"/>
        <w:gridCol w:w="1877"/>
      </w:tblGrid>
      <w:tr w:rsidR="000C2168" w:rsidRPr="000C2168" w14:paraId="7C50FF9D" w14:textId="77777777" w:rsidTr="00767B86">
        <w:trPr>
          <w:trHeight w:val="350"/>
        </w:trPr>
        <w:tc>
          <w:tcPr>
            <w:tcW w:w="1008" w:type="dxa"/>
            <w:vAlign w:val="center"/>
            <w:hideMark/>
          </w:tcPr>
          <w:p w14:paraId="05D7949C" w14:textId="77777777" w:rsidR="000C2168" w:rsidRPr="000C2168" w:rsidRDefault="000C2168" w:rsidP="000C2168">
            <w:pPr>
              <w:spacing w:after="0" w:line="240" w:lineRule="auto"/>
              <w:jc w:val="center"/>
              <w:rPr>
                <w:rFonts w:asciiTheme="majorHAnsi" w:eastAsia="Times New Roman" w:hAnsiTheme="majorHAnsi" w:cs="Times New Roman"/>
                <w:sz w:val="24"/>
                <w:szCs w:val="24"/>
              </w:rPr>
            </w:pPr>
            <w:r w:rsidRPr="000C2168">
              <w:rPr>
                <w:rFonts w:asciiTheme="majorHAnsi" w:eastAsia="Times New Roman" w:hAnsiTheme="majorHAnsi" w:cs="Times New Roman"/>
                <w:sz w:val="24"/>
                <w:szCs w:val="24"/>
              </w:rPr>
              <w:t>Year</w:t>
            </w:r>
          </w:p>
        </w:tc>
        <w:tc>
          <w:tcPr>
            <w:tcW w:w="1877" w:type="dxa"/>
            <w:vAlign w:val="center"/>
            <w:hideMark/>
          </w:tcPr>
          <w:p w14:paraId="3A6CD5C0" w14:textId="77777777" w:rsidR="000C2168" w:rsidRPr="000C2168" w:rsidRDefault="000C2168" w:rsidP="000C2168">
            <w:pPr>
              <w:spacing w:after="0" w:line="240" w:lineRule="auto"/>
              <w:jc w:val="center"/>
              <w:rPr>
                <w:rFonts w:asciiTheme="majorHAnsi" w:eastAsia="Times New Roman" w:hAnsiTheme="majorHAnsi" w:cs="Times New Roman"/>
                <w:sz w:val="24"/>
                <w:szCs w:val="24"/>
              </w:rPr>
            </w:pPr>
            <w:r w:rsidRPr="000C2168">
              <w:rPr>
                <w:rFonts w:asciiTheme="majorHAnsi" w:eastAsia="Times New Roman" w:hAnsiTheme="majorHAnsi" w:cs="Times New Roman"/>
                <w:sz w:val="24"/>
                <w:szCs w:val="24"/>
              </w:rPr>
              <w:t>Prayer Weight</w:t>
            </w:r>
          </w:p>
        </w:tc>
      </w:tr>
      <w:tr w:rsidR="000C2168" w:rsidRPr="000C2168" w14:paraId="71D003C8" w14:textId="77777777" w:rsidTr="00767B86">
        <w:trPr>
          <w:trHeight w:val="278"/>
        </w:trPr>
        <w:tc>
          <w:tcPr>
            <w:tcW w:w="1008" w:type="dxa"/>
            <w:vAlign w:val="center"/>
            <w:hideMark/>
          </w:tcPr>
          <w:p w14:paraId="4A6B1435" w14:textId="77777777" w:rsidR="000C2168" w:rsidRPr="000C2168" w:rsidRDefault="000C2168" w:rsidP="000C2168">
            <w:pPr>
              <w:spacing w:after="0" w:line="240" w:lineRule="auto"/>
              <w:jc w:val="center"/>
              <w:rPr>
                <w:rFonts w:asciiTheme="majorHAnsi" w:eastAsia="Times New Roman" w:hAnsiTheme="majorHAnsi" w:cs="Times New Roman"/>
                <w:sz w:val="24"/>
                <w:szCs w:val="24"/>
              </w:rPr>
            </w:pPr>
            <w:r w:rsidRPr="000C2168">
              <w:rPr>
                <w:rFonts w:asciiTheme="majorHAnsi" w:eastAsia="Times New Roman" w:hAnsiTheme="majorHAnsi" w:cs="Times New Roman"/>
                <w:sz w:val="24"/>
                <w:szCs w:val="24"/>
              </w:rPr>
              <w:t>2021</w:t>
            </w:r>
          </w:p>
        </w:tc>
        <w:tc>
          <w:tcPr>
            <w:tcW w:w="1877" w:type="dxa"/>
            <w:vAlign w:val="center"/>
            <w:hideMark/>
          </w:tcPr>
          <w:p w14:paraId="08F31DEF" w14:textId="77777777" w:rsidR="000C2168" w:rsidRPr="000C2168" w:rsidRDefault="000C2168" w:rsidP="000C2168">
            <w:pPr>
              <w:spacing w:after="0" w:line="240" w:lineRule="auto"/>
              <w:jc w:val="center"/>
              <w:rPr>
                <w:rFonts w:asciiTheme="majorHAnsi" w:eastAsia="Times New Roman" w:hAnsiTheme="majorHAnsi" w:cs="Times New Roman"/>
                <w:sz w:val="24"/>
                <w:szCs w:val="24"/>
              </w:rPr>
            </w:pPr>
            <w:r w:rsidRPr="000C2168">
              <w:rPr>
                <w:rFonts w:asciiTheme="majorHAnsi" w:eastAsia="Times New Roman" w:hAnsiTheme="majorHAnsi" w:cs="Times New Roman"/>
                <w:sz w:val="24"/>
                <w:szCs w:val="24"/>
              </w:rPr>
              <w:t>80%</w:t>
            </w:r>
          </w:p>
        </w:tc>
      </w:tr>
      <w:tr w:rsidR="000C2168" w:rsidRPr="000C2168" w14:paraId="093FBC3A" w14:textId="77777777" w:rsidTr="000C2168">
        <w:trPr>
          <w:trHeight w:val="84"/>
        </w:trPr>
        <w:tc>
          <w:tcPr>
            <w:tcW w:w="1008" w:type="dxa"/>
            <w:vAlign w:val="center"/>
            <w:hideMark/>
          </w:tcPr>
          <w:p w14:paraId="542E0511" w14:textId="77777777" w:rsidR="000C2168" w:rsidRPr="000C2168" w:rsidRDefault="000C2168" w:rsidP="000C2168">
            <w:pPr>
              <w:spacing w:after="0" w:line="240" w:lineRule="auto"/>
              <w:jc w:val="center"/>
              <w:rPr>
                <w:rFonts w:asciiTheme="majorHAnsi" w:eastAsia="Times New Roman" w:hAnsiTheme="majorHAnsi" w:cs="Times New Roman"/>
                <w:sz w:val="24"/>
                <w:szCs w:val="24"/>
              </w:rPr>
            </w:pPr>
            <w:r w:rsidRPr="000C2168">
              <w:rPr>
                <w:rFonts w:asciiTheme="majorHAnsi" w:eastAsia="Times New Roman" w:hAnsiTheme="majorHAnsi" w:cs="Times New Roman"/>
                <w:sz w:val="24"/>
                <w:szCs w:val="24"/>
              </w:rPr>
              <w:t>2020</w:t>
            </w:r>
          </w:p>
        </w:tc>
        <w:tc>
          <w:tcPr>
            <w:tcW w:w="1877" w:type="dxa"/>
            <w:vAlign w:val="center"/>
            <w:hideMark/>
          </w:tcPr>
          <w:p w14:paraId="04854F4C" w14:textId="77777777" w:rsidR="000C2168" w:rsidRPr="000C2168" w:rsidRDefault="000C2168" w:rsidP="000C2168">
            <w:pPr>
              <w:spacing w:after="0" w:line="240" w:lineRule="auto"/>
              <w:jc w:val="center"/>
              <w:rPr>
                <w:rFonts w:asciiTheme="majorHAnsi" w:eastAsia="Times New Roman" w:hAnsiTheme="majorHAnsi" w:cs="Times New Roman"/>
                <w:sz w:val="24"/>
                <w:szCs w:val="24"/>
              </w:rPr>
            </w:pPr>
            <w:r w:rsidRPr="000C2168">
              <w:rPr>
                <w:rFonts w:asciiTheme="majorHAnsi" w:eastAsia="Times New Roman" w:hAnsiTheme="majorHAnsi" w:cs="Times New Roman"/>
                <w:sz w:val="24"/>
                <w:szCs w:val="24"/>
              </w:rPr>
              <w:t>90%</w:t>
            </w:r>
          </w:p>
        </w:tc>
      </w:tr>
    </w:tbl>
    <w:p w14:paraId="7189E853" w14:textId="202B160F" w:rsidR="00C623C2" w:rsidRDefault="00AD4027" w:rsidP="00AD4027">
      <w:pPr>
        <w:pStyle w:val="ListParagraph"/>
        <w:spacing w:after="0"/>
        <w:ind w:left="2160" w:right="29"/>
        <w:jc w:val="both"/>
        <w:rPr>
          <w:rFonts w:asciiTheme="majorHAnsi" w:hAnsiTheme="majorHAnsi" w:cs="Calibri"/>
          <w:i/>
          <w:iCs/>
          <w:color w:val="000000"/>
          <w:sz w:val="16"/>
          <w:szCs w:val="16"/>
          <w:shd w:val="clear" w:color="auto" w:fill="FFFFFF"/>
        </w:rPr>
      </w:pPr>
      <w:r>
        <w:rPr>
          <w:rFonts w:asciiTheme="majorHAnsi" w:hAnsiTheme="majorHAnsi" w:cs="Calibri"/>
          <w:i/>
          <w:iCs/>
          <w:color w:val="000000"/>
          <w:sz w:val="16"/>
          <w:szCs w:val="16"/>
          <w:shd w:val="clear" w:color="auto" w:fill="FFFFFF"/>
        </w:rPr>
        <w:t xml:space="preserve">             </w:t>
      </w:r>
      <w:r w:rsidR="000C2168" w:rsidRPr="000C2168">
        <w:rPr>
          <w:rFonts w:asciiTheme="majorHAnsi" w:hAnsiTheme="majorHAnsi" w:cs="Calibri"/>
          <w:i/>
          <w:iCs/>
          <w:color w:val="000000"/>
          <w:sz w:val="16"/>
          <w:szCs w:val="16"/>
          <w:shd w:val="clear" w:color="auto" w:fill="FFFFFF"/>
        </w:rPr>
        <w:t>Source: Analysis, 2022</w:t>
      </w:r>
    </w:p>
    <w:p w14:paraId="4D557115" w14:textId="77777777" w:rsidR="000C2168" w:rsidRPr="000C2168" w:rsidRDefault="000C2168" w:rsidP="000C2168">
      <w:pPr>
        <w:pStyle w:val="ListParagraph"/>
        <w:spacing w:after="0"/>
        <w:ind w:left="648" w:right="29" w:firstLine="720"/>
        <w:jc w:val="both"/>
        <w:rPr>
          <w:rFonts w:asciiTheme="majorHAnsi" w:hAnsiTheme="majorHAnsi" w:cs="Calibri"/>
          <w:color w:val="000000"/>
          <w:sz w:val="16"/>
          <w:szCs w:val="16"/>
          <w:shd w:val="clear" w:color="auto" w:fill="FFFFFF"/>
          <w:lang w:val="id-ID"/>
        </w:rPr>
      </w:pPr>
    </w:p>
    <w:p w14:paraId="7A276AC8" w14:textId="796013A3" w:rsidR="00E71BA0" w:rsidRDefault="00E71BA0" w:rsidP="00E71BA0">
      <w:pPr>
        <w:pStyle w:val="ListParagraph"/>
        <w:spacing w:after="0"/>
        <w:ind w:left="648" w:right="29" w:firstLine="720"/>
        <w:jc w:val="both"/>
        <w:rPr>
          <w:rFonts w:asciiTheme="majorHAnsi" w:hAnsiTheme="majorHAnsi" w:cs="Calibri"/>
          <w:color w:val="000000"/>
          <w:sz w:val="24"/>
          <w:szCs w:val="24"/>
          <w:shd w:val="clear" w:color="auto" w:fill="FFFFFF"/>
          <w:lang w:val="id-ID"/>
        </w:rPr>
      </w:pPr>
      <w:r w:rsidRPr="00E71BA0">
        <w:rPr>
          <w:rFonts w:asciiTheme="majorHAnsi" w:hAnsiTheme="majorHAnsi" w:cs="Calibri"/>
          <w:color w:val="000000"/>
          <w:sz w:val="24"/>
          <w:szCs w:val="24"/>
          <w:shd w:val="clear" w:color="auto" w:fill="FFFFFF"/>
        </w:rPr>
        <w:t>From the data obtained through an interview with employees of Bank Syariah Indonesia, they realized prayers in the congregation nevertheless carried out specifically to employees’ personal resting time schedules to ensure the need for sections active performing and annual progression aim. After getting the value of the weight of the prayer next step applied is to calculate the value of the influence of prayer with the formula</w:t>
      </w:r>
      <w:r>
        <w:rPr>
          <w:rFonts w:asciiTheme="majorHAnsi" w:hAnsiTheme="majorHAnsi" w:cs="Calibri"/>
          <w:color w:val="000000"/>
          <w:sz w:val="24"/>
          <w:szCs w:val="24"/>
          <w:shd w:val="clear" w:color="auto" w:fill="FFFFFF"/>
          <w:lang w:val="id-ID"/>
        </w:rPr>
        <w:t>.</w:t>
      </w:r>
    </w:p>
    <w:p w14:paraId="48AE3B43" w14:textId="28706D19" w:rsidR="00C21103" w:rsidRDefault="00C21103" w:rsidP="00AD4027">
      <w:pPr>
        <w:pStyle w:val="ListParagraph"/>
        <w:spacing w:after="0"/>
        <w:ind w:left="2160" w:right="29"/>
        <w:jc w:val="both"/>
        <w:rPr>
          <w:rFonts w:asciiTheme="majorHAnsi" w:hAnsiTheme="majorHAnsi" w:cs="Calibri"/>
          <w:color w:val="000000"/>
          <w:sz w:val="24"/>
          <w:szCs w:val="24"/>
          <w:shd w:val="clear" w:color="auto" w:fill="FFFFFF"/>
        </w:rPr>
      </w:pPr>
      <w:r>
        <w:rPr>
          <w:rFonts w:asciiTheme="majorHAnsi" w:hAnsiTheme="majorHAnsi" w:cs="Calibri"/>
          <w:color w:val="000000"/>
          <w:sz w:val="24"/>
          <w:szCs w:val="24"/>
          <w:shd w:val="clear" w:color="auto" w:fill="FFFFFF"/>
          <w:lang w:val="id-ID"/>
        </w:rPr>
        <w:t xml:space="preserve">Table 4. </w:t>
      </w:r>
      <w:r w:rsidRPr="00C21103">
        <w:rPr>
          <w:rFonts w:asciiTheme="majorHAnsi" w:hAnsiTheme="majorHAnsi" w:cs="Calibri"/>
          <w:color w:val="000000"/>
          <w:sz w:val="24"/>
          <w:szCs w:val="24"/>
          <w:shd w:val="clear" w:color="auto" w:fill="FFFFFF"/>
        </w:rPr>
        <w:t>The Value of the Effect of Prayer</w:t>
      </w:r>
    </w:p>
    <w:tbl>
      <w:tblPr>
        <w:tblW w:w="4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
        <w:gridCol w:w="1170"/>
        <w:gridCol w:w="1432"/>
        <w:gridCol w:w="1215"/>
      </w:tblGrid>
      <w:tr w:rsidR="00973AC2" w:rsidRPr="00973AC2" w14:paraId="1627C368" w14:textId="77777777" w:rsidTr="00973AC2">
        <w:trPr>
          <w:trHeight w:val="20"/>
          <w:jc w:val="center"/>
        </w:trPr>
        <w:tc>
          <w:tcPr>
            <w:tcW w:w="957" w:type="dxa"/>
            <w:tcBorders>
              <w:top w:val="single" w:sz="4" w:space="0" w:color="000000"/>
              <w:left w:val="single" w:sz="4" w:space="0" w:color="000000"/>
              <w:bottom w:val="single" w:sz="4" w:space="0" w:color="000000"/>
              <w:right w:val="single" w:sz="4" w:space="0" w:color="000000"/>
            </w:tcBorders>
            <w:vAlign w:val="center"/>
            <w:hideMark/>
          </w:tcPr>
          <w:p w14:paraId="493E822A" w14:textId="77777777" w:rsidR="00973AC2" w:rsidRPr="00973AC2" w:rsidRDefault="00973AC2" w:rsidP="00973AC2">
            <w:pPr>
              <w:spacing w:after="0" w:line="240" w:lineRule="auto"/>
              <w:jc w:val="center"/>
              <w:rPr>
                <w:rFonts w:asciiTheme="majorHAnsi" w:eastAsia="Times New Roman" w:hAnsiTheme="majorHAnsi" w:cs="Times New Roman"/>
                <w:sz w:val="24"/>
                <w:szCs w:val="24"/>
              </w:rPr>
            </w:pPr>
            <w:r w:rsidRPr="00973AC2">
              <w:rPr>
                <w:rFonts w:asciiTheme="majorHAnsi" w:eastAsia="Times New Roman" w:hAnsiTheme="majorHAnsi" w:cs="Times New Roman"/>
                <w:sz w:val="24"/>
                <w:szCs w:val="24"/>
              </w:rPr>
              <w:t>Tahun</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7E146C95" w14:textId="77777777" w:rsidR="00973AC2" w:rsidRPr="00973AC2" w:rsidRDefault="00973AC2" w:rsidP="00973AC2">
            <w:pPr>
              <w:spacing w:after="0" w:line="240" w:lineRule="auto"/>
              <w:jc w:val="center"/>
              <w:rPr>
                <w:rFonts w:asciiTheme="majorHAnsi" w:eastAsia="Times New Roman" w:hAnsiTheme="majorHAnsi" w:cs="Times New Roman"/>
                <w:sz w:val="24"/>
                <w:szCs w:val="24"/>
              </w:rPr>
            </w:pPr>
            <w:r w:rsidRPr="00973AC2">
              <w:rPr>
                <w:rFonts w:asciiTheme="majorHAnsi" w:eastAsia="Times New Roman" w:hAnsiTheme="majorHAnsi" w:cs="Times New Roman"/>
                <w:sz w:val="24"/>
                <w:szCs w:val="24"/>
              </w:rPr>
              <w:t>Efisiensi</w:t>
            </w:r>
          </w:p>
        </w:tc>
        <w:tc>
          <w:tcPr>
            <w:tcW w:w="1432" w:type="dxa"/>
            <w:tcBorders>
              <w:top w:val="single" w:sz="4" w:space="0" w:color="000000"/>
              <w:left w:val="single" w:sz="4" w:space="0" w:color="000000"/>
              <w:bottom w:val="single" w:sz="4" w:space="0" w:color="000000"/>
              <w:right w:val="single" w:sz="4" w:space="0" w:color="000000"/>
            </w:tcBorders>
            <w:vAlign w:val="center"/>
            <w:hideMark/>
          </w:tcPr>
          <w:p w14:paraId="70967C79" w14:textId="77777777" w:rsidR="00973AC2" w:rsidRPr="00973AC2" w:rsidRDefault="00973AC2" w:rsidP="00973AC2">
            <w:pPr>
              <w:spacing w:after="0" w:line="240" w:lineRule="auto"/>
              <w:jc w:val="center"/>
              <w:rPr>
                <w:rFonts w:asciiTheme="majorHAnsi" w:eastAsia="Times New Roman" w:hAnsiTheme="majorHAnsi" w:cs="Times New Roman"/>
                <w:sz w:val="24"/>
                <w:szCs w:val="24"/>
              </w:rPr>
            </w:pPr>
            <w:r w:rsidRPr="00973AC2">
              <w:rPr>
                <w:rFonts w:asciiTheme="majorHAnsi" w:eastAsia="Times New Roman" w:hAnsiTheme="majorHAnsi" w:cs="Times New Roman"/>
                <w:sz w:val="24"/>
                <w:szCs w:val="24"/>
              </w:rPr>
              <w:t>Nilai Sholat</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583220F9" w14:textId="77777777" w:rsidR="00973AC2" w:rsidRPr="00973AC2" w:rsidRDefault="00973AC2" w:rsidP="00973AC2">
            <w:pPr>
              <w:spacing w:after="0" w:line="240" w:lineRule="auto"/>
              <w:jc w:val="center"/>
              <w:rPr>
                <w:rFonts w:asciiTheme="majorHAnsi" w:eastAsia="Times New Roman" w:hAnsiTheme="majorHAnsi" w:cs="Times New Roman"/>
                <w:sz w:val="24"/>
                <w:szCs w:val="24"/>
              </w:rPr>
            </w:pPr>
            <w:r w:rsidRPr="00973AC2">
              <w:rPr>
                <w:rFonts w:asciiTheme="majorHAnsi" w:eastAsia="Times New Roman" w:hAnsiTheme="majorHAnsi" w:cs="Times New Roman"/>
                <w:sz w:val="24"/>
                <w:szCs w:val="24"/>
              </w:rPr>
              <w:t>Jumlah</w:t>
            </w:r>
          </w:p>
        </w:tc>
      </w:tr>
      <w:tr w:rsidR="00973AC2" w:rsidRPr="00973AC2" w14:paraId="5FAA020B" w14:textId="77777777" w:rsidTr="00973AC2">
        <w:trPr>
          <w:trHeight w:val="20"/>
          <w:jc w:val="center"/>
        </w:trPr>
        <w:tc>
          <w:tcPr>
            <w:tcW w:w="957" w:type="dxa"/>
            <w:tcBorders>
              <w:top w:val="single" w:sz="4" w:space="0" w:color="000000"/>
              <w:left w:val="single" w:sz="4" w:space="0" w:color="000000"/>
              <w:bottom w:val="single" w:sz="4" w:space="0" w:color="000000"/>
              <w:right w:val="single" w:sz="4" w:space="0" w:color="000000"/>
            </w:tcBorders>
            <w:vAlign w:val="center"/>
            <w:hideMark/>
          </w:tcPr>
          <w:p w14:paraId="0E80232F" w14:textId="77777777" w:rsidR="00973AC2" w:rsidRPr="00973AC2" w:rsidRDefault="00973AC2" w:rsidP="00973AC2">
            <w:pPr>
              <w:spacing w:after="0" w:line="240" w:lineRule="auto"/>
              <w:jc w:val="center"/>
              <w:rPr>
                <w:rFonts w:asciiTheme="majorHAnsi" w:eastAsia="Times New Roman" w:hAnsiTheme="majorHAnsi" w:cs="Times New Roman"/>
                <w:sz w:val="24"/>
                <w:szCs w:val="24"/>
              </w:rPr>
            </w:pPr>
            <w:r w:rsidRPr="00973AC2">
              <w:rPr>
                <w:rFonts w:asciiTheme="majorHAnsi" w:eastAsia="Times New Roman" w:hAnsiTheme="majorHAnsi" w:cs="Times New Roman"/>
                <w:sz w:val="24"/>
                <w:szCs w:val="24"/>
              </w:rPr>
              <w:t>2020</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64D2709A" w14:textId="77777777" w:rsidR="00973AC2" w:rsidRPr="00973AC2" w:rsidRDefault="00973AC2" w:rsidP="00973AC2">
            <w:pPr>
              <w:spacing w:after="0" w:line="240" w:lineRule="auto"/>
              <w:jc w:val="center"/>
              <w:rPr>
                <w:rFonts w:asciiTheme="majorHAnsi" w:eastAsia="Times New Roman" w:hAnsiTheme="majorHAnsi" w:cs="Times New Roman"/>
                <w:sz w:val="24"/>
                <w:szCs w:val="24"/>
              </w:rPr>
            </w:pPr>
            <w:r w:rsidRPr="00973AC2">
              <w:rPr>
                <w:rFonts w:asciiTheme="majorHAnsi" w:eastAsia="Times New Roman" w:hAnsiTheme="majorHAnsi" w:cs="Times New Roman"/>
                <w:sz w:val="24"/>
                <w:szCs w:val="24"/>
              </w:rPr>
              <w:t>0,001%</w:t>
            </w:r>
          </w:p>
        </w:tc>
        <w:tc>
          <w:tcPr>
            <w:tcW w:w="1432" w:type="dxa"/>
            <w:tcBorders>
              <w:top w:val="single" w:sz="4" w:space="0" w:color="000000"/>
              <w:left w:val="single" w:sz="4" w:space="0" w:color="000000"/>
              <w:bottom w:val="single" w:sz="4" w:space="0" w:color="000000"/>
              <w:right w:val="single" w:sz="4" w:space="0" w:color="000000"/>
            </w:tcBorders>
            <w:vAlign w:val="center"/>
            <w:hideMark/>
          </w:tcPr>
          <w:p w14:paraId="7836BC6D" w14:textId="77777777" w:rsidR="00973AC2" w:rsidRPr="00973AC2" w:rsidRDefault="00973AC2" w:rsidP="00973AC2">
            <w:pPr>
              <w:spacing w:after="0" w:line="240" w:lineRule="auto"/>
              <w:jc w:val="center"/>
              <w:rPr>
                <w:rFonts w:asciiTheme="majorHAnsi" w:eastAsia="Times New Roman" w:hAnsiTheme="majorHAnsi" w:cs="Times New Roman"/>
                <w:sz w:val="24"/>
                <w:szCs w:val="24"/>
              </w:rPr>
            </w:pPr>
            <w:r w:rsidRPr="00973AC2">
              <w:rPr>
                <w:rFonts w:asciiTheme="majorHAnsi" w:eastAsia="Times New Roman" w:hAnsiTheme="majorHAnsi" w:cs="Times New Roman"/>
                <w:sz w:val="24"/>
                <w:szCs w:val="24"/>
              </w:rPr>
              <w:t>80%</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66E7A4CC" w14:textId="77777777" w:rsidR="00973AC2" w:rsidRPr="00973AC2" w:rsidRDefault="00973AC2" w:rsidP="00973AC2">
            <w:pPr>
              <w:spacing w:after="0" w:line="240" w:lineRule="auto"/>
              <w:jc w:val="center"/>
              <w:rPr>
                <w:rFonts w:asciiTheme="majorHAnsi" w:eastAsia="Times New Roman" w:hAnsiTheme="majorHAnsi" w:cs="Times New Roman"/>
                <w:sz w:val="24"/>
                <w:szCs w:val="24"/>
              </w:rPr>
            </w:pPr>
            <w:r w:rsidRPr="00973AC2">
              <w:rPr>
                <w:rFonts w:asciiTheme="majorHAnsi" w:eastAsia="Times New Roman" w:hAnsiTheme="majorHAnsi" w:cs="Times New Roman"/>
                <w:sz w:val="24"/>
                <w:szCs w:val="24"/>
              </w:rPr>
              <w:t>0,0008%</w:t>
            </w:r>
          </w:p>
        </w:tc>
      </w:tr>
      <w:tr w:rsidR="00973AC2" w:rsidRPr="00973AC2" w14:paraId="5B0DAE59" w14:textId="77777777" w:rsidTr="00973AC2">
        <w:trPr>
          <w:trHeight w:val="20"/>
          <w:jc w:val="center"/>
        </w:trPr>
        <w:tc>
          <w:tcPr>
            <w:tcW w:w="957" w:type="dxa"/>
            <w:tcBorders>
              <w:top w:val="single" w:sz="4" w:space="0" w:color="000000"/>
              <w:left w:val="single" w:sz="4" w:space="0" w:color="000000"/>
              <w:bottom w:val="single" w:sz="4" w:space="0" w:color="000000"/>
              <w:right w:val="single" w:sz="4" w:space="0" w:color="000000"/>
            </w:tcBorders>
            <w:vAlign w:val="center"/>
            <w:hideMark/>
          </w:tcPr>
          <w:p w14:paraId="181D5B55" w14:textId="77777777" w:rsidR="00973AC2" w:rsidRPr="00973AC2" w:rsidRDefault="00973AC2" w:rsidP="00973AC2">
            <w:pPr>
              <w:spacing w:after="0" w:line="240" w:lineRule="auto"/>
              <w:jc w:val="center"/>
              <w:rPr>
                <w:rFonts w:asciiTheme="majorHAnsi" w:eastAsia="Times New Roman" w:hAnsiTheme="majorHAnsi" w:cs="Times New Roman"/>
                <w:sz w:val="24"/>
                <w:szCs w:val="24"/>
              </w:rPr>
            </w:pPr>
            <w:r w:rsidRPr="00973AC2">
              <w:rPr>
                <w:rFonts w:asciiTheme="majorHAnsi" w:eastAsia="Times New Roman" w:hAnsiTheme="majorHAnsi" w:cs="Times New Roman"/>
                <w:sz w:val="24"/>
                <w:szCs w:val="24"/>
              </w:rPr>
              <w:t>2021</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39457E9B" w14:textId="77777777" w:rsidR="00973AC2" w:rsidRPr="00973AC2" w:rsidRDefault="00973AC2" w:rsidP="00973AC2">
            <w:pPr>
              <w:spacing w:after="0" w:line="240" w:lineRule="auto"/>
              <w:jc w:val="center"/>
              <w:rPr>
                <w:rFonts w:asciiTheme="majorHAnsi" w:eastAsia="Times New Roman" w:hAnsiTheme="majorHAnsi" w:cs="Times New Roman"/>
                <w:sz w:val="24"/>
                <w:szCs w:val="24"/>
              </w:rPr>
            </w:pPr>
            <w:r w:rsidRPr="00973AC2">
              <w:rPr>
                <w:rFonts w:asciiTheme="majorHAnsi" w:eastAsia="Times New Roman" w:hAnsiTheme="majorHAnsi" w:cs="Times New Roman"/>
                <w:sz w:val="24"/>
                <w:szCs w:val="24"/>
              </w:rPr>
              <w:t>0,23%</w:t>
            </w:r>
          </w:p>
        </w:tc>
        <w:tc>
          <w:tcPr>
            <w:tcW w:w="1432" w:type="dxa"/>
            <w:tcBorders>
              <w:top w:val="single" w:sz="4" w:space="0" w:color="000000"/>
              <w:left w:val="single" w:sz="4" w:space="0" w:color="000000"/>
              <w:bottom w:val="single" w:sz="4" w:space="0" w:color="000000"/>
              <w:right w:val="single" w:sz="4" w:space="0" w:color="000000"/>
            </w:tcBorders>
            <w:vAlign w:val="center"/>
            <w:hideMark/>
          </w:tcPr>
          <w:p w14:paraId="3A16D906" w14:textId="77777777" w:rsidR="00973AC2" w:rsidRPr="00973AC2" w:rsidRDefault="00973AC2" w:rsidP="00973AC2">
            <w:pPr>
              <w:spacing w:after="0" w:line="240" w:lineRule="auto"/>
              <w:jc w:val="center"/>
              <w:rPr>
                <w:rFonts w:asciiTheme="majorHAnsi" w:eastAsia="Times New Roman" w:hAnsiTheme="majorHAnsi" w:cs="Times New Roman"/>
                <w:sz w:val="24"/>
                <w:szCs w:val="24"/>
              </w:rPr>
            </w:pPr>
            <w:r w:rsidRPr="00973AC2">
              <w:rPr>
                <w:rFonts w:asciiTheme="majorHAnsi" w:eastAsia="Times New Roman" w:hAnsiTheme="majorHAnsi" w:cs="Times New Roman"/>
                <w:sz w:val="24"/>
                <w:szCs w:val="24"/>
              </w:rPr>
              <w:t>90%</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1990976B" w14:textId="77777777" w:rsidR="00973AC2" w:rsidRPr="00973AC2" w:rsidRDefault="00973AC2" w:rsidP="00973AC2">
            <w:pPr>
              <w:spacing w:after="0" w:line="240" w:lineRule="auto"/>
              <w:jc w:val="center"/>
              <w:rPr>
                <w:rFonts w:asciiTheme="majorHAnsi" w:eastAsia="Times New Roman" w:hAnsiTheme="majorHAnsi" w:cs="Times New Roman"/>
                <w:sz w:val="24"/>
                <w:szCs w:val="24"/>
              </w:rPr>
            </w:pPr>
            <w:r w:rsidRPr="00973AC2">
              <w:rPr>
                <w:rFonts w:asciiTheme="majorHAnsi" w:eastAsia="Times New Roman" w:hAnsiTheme="majorHAnsi" w:cs="Times New Roman"/>
                <w:sz w:val="24"/>
                <w:szCs w:val="24"/>
              </w:rPr>
              <w:t>0,207%</w:t>
            </w:r>
          </w:p>
        </w:tc>
      </w:tr>
    </w:tbl>
    <w:p w14:paraId="552A1981" w14:textId="5FEE95D5" w:rsidR="00973AC2" w:rsidRPr="00973AC2" w:rsidRDefault="00AD4027" w:rsidP="00AD4027">
      <w:pPr>
        <w:pStyle w:val="ListParagraph"/>
        <w:spacing w:after="0"/>
        <w:ind w:left="1440" w:right="29"/>
        <w:jc w:val="both"/>
        <w:rPr>
          <w:rFonts w:asciiTheme="majorHAnsi" w:hAnsiTheme="majorHAnsi" w:cs="Calibri"/>
          <w:color w:val="000000"/>
          <w:sz w:val="16"/>
          <w:szCs w:val="16"/>
          <w:shd w:val="clear" w:color="auto" w:fill="FFFFFF"/>
          <w:lang w:val="id-ID"/>
        </w:rPr>
      </w:pPr>
      <w:r>
        <w:rPr>
          <w:rFonts w:asciiTheme="majorHAnsi" w:hAnsiTheme="majorHAnsi" w:cs="Calibri"/>
          <w:i/>
          <w:iCs/>
          <w:color w:val="000000"/>
          <w:sz w:val="16"/>
          <w:szCs w:val="16"/>
          <w:shd w:val="clear" w:color="auto" w:fill="FFFFFF"/>
        </w:rPr>
        <w:t xml:space="preserve">        </w:t>
      </w:r>
      <w:r w:rsidR="00973AC2" w:rsidRPr="00973AC2">
        <w:rPr>
          <w:rFonts w:asciiTheme="majorHAnsi" w:hAnsiTheme="majorHAnsi" w:cs="Calibri"/>
          <w:i/>
          <w:iCs/>
          <w:color w:val="000000"/>
          <w:sz w:val="16"/>
          <w:szCs w:val="16"/>
          <w:shd w:val="clear" w:color="auto" w:fill="FFFFFF"/>
        </w:rPr>
        <w:t>Source: Analysis, 2022</w:t>
      </w:r>
      <w:r w:rsidR="00973AC2">
        <w:rPr>
          <w:rFonts w:asciiTheme="majorHAnsi" w:hAnsiTheme="majorHAnsi" w:cs="Calibri"/>
          <w:color w:val="000000"/>
          <w:sz w:val="16"/>
          <w:szCs w:val="16"/>
          <w:shd w:val="clear" w:color="auto" w:fill="FFFFFF"/>
          <w:lang w:val="id-ID"/>
        </w:rPr>
        <w:t>.</w:t>
      </w:r>
    </w:p>
    <w:p w14:paraId="782A5790" w14:textId="13FDFCEB" w:rsidR="00C21103" w:rsidRDefault="005257C4" w:rsidP="00C21103">
      <w:pPr>
        <w:pStyle w:val="ListParagraph"/>
        <w:spacing w:after="0"/>
        <w:ind w:left="648" w:right="29" w:firstLine="720"/>
        <w:jc w:val="both"/>
        <w:rPr>
          <w:rFonts w:asciiTheme="majorHAnsi" w:hAnsiTheme="majorHAnsi" w:cs="Calibri"/>
          <w:color w:val="000000"/>
          <w:sz w:val="24"/>
          <w:szCs w:val="24"/>
          <w:shd w:val="clear" w:color="auto" w:fill="FFFFFF"/>
          <w:lang w:val="id-ID"/>
        </w:rPr>
      </w:pPr>
      <w:r>
        <w:rPr>
          <w:rFonts w:asciiTheme="majorHAnsi" w:hAnsiTheme="majorHAnsi" w:cs="Calibri"/>
          <w:color w:val="000000"/>
          <w:sz w:val="24"/>
          <w:szCs w:val="24"/>
          <w:shd w:val="clear" w:color="auto" w:fill="FFFFFF"/>
          <w:lang w:val="id-ID"/>
        </w:rPr>
        <w:t xml:space="preserve"> </w:t>
      </w:r>
    </w:p>
    <w:p w14:paraId="0B6E1E23" w14:textId="5C526324" w:rsidR="00C21103" w:rsidRPr="00C21103" w:rsidRDefault="00C21103" w:rsidP="00C21103">
      <w:pPr>
        <w:pStyle w:val="ListParagraph"/>
        <w:spacing w:after="0"/>
        <w:ind w:left="648" w:right="29" w:firstLine="720"/>
        <w:jc w:val="both"/>
        <w:rPr>
          <w:rFonts w:asciiTheme="majorHAnsi" w:hAnsiTheme="majorHAnsi" w:cs="Calibri"/>
          <w:color w:val="000000"/>
          <w:sz w:val="24"/>
          <w:szCs w:val="24"/>
          <w:shd w:val="clear" w:color="auto" w:fill="FFFFFF"/>
          <w:lang w:val="id-ID"/>
        </w:rPr>
      </w:pPr>
      <w:r w:rsidRPr="00C21103">
        <w:rPr>
          <w:rFonts w:asciiTheme="majorHAnsi" w:hAnsiTheme="majorHAnsi" w:cs="Calibri"/>
          <w:color w:val="000000"/>
          <w:sz w:val="24"/>
          <w:szCs w:val="24"/>
          <w:shd w:val="clear" w:color="auto" w:fill="FFFFFF"/>
        </w:rPr>
        <w:t xml:space="preserve">Based on the calculation results in the table above, it is perceived there has been a drastic increase in term </w:t>
      </w:r>
      <w:r w:rsidR="000C2168" w:rsidRPr="00C21103">
        <w:rPr>
          <w:rFonts w:asciiTheme="majorHAnsi" w:hAnsiTheme="majorHAnsi" w:cs="Calibri"/>
          <w:color w:val="000000"/>
          <w:sz w:val="24"/>
          <w:szCs w:val="24"/>
          <w:shd w:val="clear" w:color="auto" w:fill="FFFFFF"/>
        </w:rPr>
        <w:t>of value</w:t>
      </w:r>
      <w:r w:rsidRPr="00C21103">
        <w:rPr>
          <w:rFonts w:asciiTheme="majorHAnsi" w:hAnsiTheme="majorHAnsi" w:cs="Calibri"/>
          <w:color w:val="000000"/>
          <w:sz w:val="24"/>
          <w:szCs w:val="24"/>
          <w:shd w:val="clear" w:color="auto" w:fill="FFFFFF"/>
        </w:rPr>
        <w:t xml:space="preserve"> of influence of spiritual prayer from 2020 to 2021.</w:t>
      </w:r>
    </w:p>
    <w:p w14:paraId="116B30B9" w14:textId="18E9AA9E" w:rsidR="00646326" w:rsidRDefault="00160F65" w:rsidP="00083C14">
      <w:pPr>
        <w:spacing w:after="0"/>
        <w:ind w:left="288" w:right="26" w:firstLine="709"/>
        <w:jc w:val="both"/>
        <w:rPr>
          <w:rFonts w:asciiTheme="majorHAnsi" w:hAnsiTheme="majorHAnsi" w:cs="Calibri"/>
          <w:color w:val="000000"/>
          <w:sz w:val="24"/>
          <w:szCs w:val="24"/>
          <w:shd w:val="clear" w:color="auto" w:fill="FFFFFF"/>
        </w:rPr>
      </w:pPr>
      <w:r w:rsidRPr="00160F65">
        <w:rPr>
          <w:rFonts w:asciiTheme="majorHAnsi" w:hAnsiTheme="majorHAnsi" w:cs="Calibri"/>
          <w:color w:val="000000"/>
          <w:sz w:val="24"/>
          <w:szCs w:val="24"/>
          <w:shd w:val="clear" w:color="auto" w:fill="FFFFFF"/>
        </w:rPr>
        <w:t xml:space="preserve"> </w:t>
      </w:r>
    </w:p>
    <w:p w14:paraId="7627EE0D" w14:textId="1D5018BB" w:rsidR="00160F65" w:rsidRPr="00160F65" w:rsidRDefault="009F1E44" w:rsidP="009F1E44">
      <w:pPr>
        <w:spacing w:after="0"/>
        <w:ind w:left="288" w:right="26"/>
        <w:jc w:val="both"/>
        <w:rPr>
          <w:rFonts w:asciiTheme="majorHAnsi" w:hAnsiTheme="majorHAnsi" w:cs="Calibri"/>
          <w:color w:val="000000"/>
          <w:sz w:val="24"/>
          <w:szCs w:val="24"/>
          <w:shd w:val="clear" w:color="auto" w:fill="FFFFFF"/>
        </w:rPr>
      </w:pPr>
      <w:r w:rsidRPr="009F1E44">
        <w:rPr>
          <w:rFonts w:asciiTheme="majorHAnsi" w:hAnsiTheme="majorHAnsi" w:cs="Calibri"/>
          <w:b/>
          <w:bCs/>
          <w:color w:val="000000"/>
          <w:sz w:val="24"/>
          <w:szCs w:val="24"/>
          <w:shd w:val="clear" w:color="auto" w:fill="FFFFFF"/>
        </w:rPr>
        <w:t>Impact Of Covid-19 On Sharia Banking</w:t>
      </w:r>
    </w:p>
    <w:p w14:paraId="1799928B" w14:textId="7F7BFE29" w:rsidR="00160F65" w:rsidRDefault="009E7221" w:rsidP="009E7221">
      <w:pPr>
        <w:spacing w:after="0"/>
        <w:ind w:left="288" w:right="26" w:firstLine="709"/>
        <w:jc w:val="both"/>
        <w:rPr>
          <w:rFonts w:asciiTheme="majorHAnsi" w:hAnsiTheme="majorHAnsi" w:cs="Calibri"/>
          <w:color w:val="000000"/>
          <w:sz w:val="24"/>
          <w:szCs w:val="24"/>
          <w:shd w:val="clear" w:color="auto" w:fill="FFFFFF"/>
        </w:rPr>
      </w:pPr>
      <w:r w:rsidRPr="009E7221">
        <w:rPr>
          <w:rFonts w:asciiTheme="majorHAnsi" w:hAnsiTheme="majorHAnsi" w:cs="Calibri"/>
          <w:color w:val="000000"/>
          <w:sz w:val="24"/>
          <w:szCs w:val="24"/>
          <w:shd w:val="clear" w:color="auto" w:fill="FFFFFF"/>
        </w:rPr>
        <w:t>As the first case of Covid-19 was announced by the Government of the Republic of Indonesia, later in March 2, 2020, it disrupted economies around the world. The COVID-19 pandemic has now reached more than 195 countries and the number of infected cases is increasing. Out of total population of Indonesia at 471,907,717 million people, more than 3,905,308 million died from Covid-19 epidemic.</w:t>
      </w:r>
      <w:r w:rsidR="00083C14">
        <w:rPr>
          <w:rStyle w:val="FootnoteReference"/>
          <w:rFonts w:asciiTheme="majorHAnsi" w:hAnsiTheme="majorHAnsi" w:cs="Calibri"/>
          <w:color w:val="000000"/>
          <w:sz w:val="24"/>
          <w:szCs w:val="24"/>
          <w:shd w:val="clear" w:color="auto" w:fill="FFFFFF"/>
        </w:rPr>
        <w:footnoteReference w:id="19"/>
      </w:r>
      <w:r w:rsidRPr="009E7221">
        <w:rPr>
          <w:rFonts w:asciiTheme="majorHAnsi" w:hAnsiTheme="majorHAnsi" w:cs="Calibri"/>
          <w:color w:val="000000"/>
          <w:sz w:val="24"/>
          <w:szCs w:val="24"/>
          <w:shd w:val="clear" w:color="auto" w:fill="FFFFFF"/>
        </w:rPr>
        <w:t xml:space="preserve"> As a matter of facing Covid-19 the government urges all Indonesian citizens to apply physical distancing in daily occurrence.</w:t>
      </w:r>
      <w:r w:rsidR="00A82DDA">
        <w:rPr>
          <w:rStyle w:val="FootnoteReference"/>
          <w:rFonts w:asciiTheme="majorHAnsi" w:hAnsiTheme="majorHAnsi" w:cs="Calibri"/>
          <w:color w:val="000000"/>
          <w:sz w:val="24"/>
          <w:szCs w:val="24"/>
          <w:shd w:val="clear" w:color="auto" w:fill="FFFFFF"/>
        </w:rPr>
        <w:footnoteReference w:id="20"/>
      </w:r>
      <w:r w:rsidRPr="009E7221">
        <w:rPr>
          <w:rFonts w:asciiTheme="majorHAnsi" w:hAnsiTheme="majorHAnsi" w:cs="Calibri"/>
          <w:color w:val="000000"/>
          <w:sz w:val="24"/>
          <w:szCs w:val="24"/>
          <w:shd w:val="clear" w:color="auto" w:fill="FFFFFF"/>
        </w:rPr>
        <w:t xml:space="preserve"> However, decision to implement physical distancing and social distancing (PSBB) in several areas ultimately affected the Indonesian economy. Activity restrictions caused slower economic growth and eventually lead to unemployment in Indonesia increased, since companies reduced </w:t>
      </w:r>
      <w:r w:rsidRPr="009E7221">
        <w:rPr>
          <w:rFonts w:asciiTheme="majorHAnsi" w:hAnsiTheme="majorHAnsi" w:cs="Calibri"/>
          <w:color w:val="000000"/>
          <w:sz w:val="24"/>
          <w:szCs w:val="24"/>
          <w:shd w:val="clear" w:color="auto" w:fill="FFFFFF"/>
        </w:rPr>
        <w:lastRenderedPageBreak/>
        <w:t>manufacturing activities. The reality perceive as potential risks faced by banks, especially in the Indonesian banking industry.</w:t>
      </w:r>
      <w:r w:rsidR="00896604">
        <w:rPr>
          <w:rStyle w:val="FootnoteReference"/>
          <w:rFonts w:asciiTheme="majorHAnsi" w:hAnsiTheme="majorHAnsi" w:cs="Calibri"/>
          <w:color w:val="000000"/>
          <w:sz w:val="24"/>
          <w:szCs w:val="24"/>
          <w:shd w:val="clear" w:color="auto" w:fill="FFFFFF"/>
        </w:rPr>
        <w:footnoteReference w:id="21"/>
      </w:r>
      <w:r w:rsidRPr="009E7221">
        <w:rPr>
          <w:rFonts w:asciiTheme="majorHAnsi" w:hAnsiTheme="majorHAnsi" w:cs="Calibri"/>
          <w:color w:val="000000"/>
          <w:sz w:val="24"/>
          <w:szCs w:val="24"/>
          <w:shd w:val="clear" w:color="auto" w:fill="FFFFFF"/>
        </w:rPr>
        <w:t xml:space="preserve"> There are potential risks of the COVID-19 pandemic: Difficulty in bank financing, </w:t>
      </w:r>
      <w:r w:rsidR="003A6BCB" w:rsidRPr="009E7221">
        <w:rPr>
          <w:rFonts w:asciiTheme="majorHAnsi" w:hAnsiTheme="majorHAnsi" w:cs="Calibri"/>
          <w:color w:val="000000"/>
          <w:sz w:val="24"/>
          <w:szCs w:val="24"/>
          <w:shd w:val="clear" w:color="auto" w:fill="FFFFFF"/>
        </w:rPr>
        <w:t>the</w:t>
      </w:r>
      <w:r w:rsidRPr="009E7221">
        <w:rPr>
          <w:rFonts w:asciiTheme="majorHAnsi" w:hAnsiTheme="majorHAnsi" w:cs="Calibri"/>
          <w:color w:val="000000"/>
          <w:sz w:val="24"/>
          <w:szCs w:val="24"/>
          <w:shd w:val="clear" w:color="auto" w:fill="FFFFFF"/>
        </w:rPr>
        <w:t xml:space="preserve"> increasing possibility of stalled credit, and Bank interest spread.</w:t>
      </w:r>
    </w:p>
    <w:p w14:paraId="5EF38813" w14:textId="6733DC14" w:rsidR="002A4A12" w:rsidRDefault="002A4A12" w:rsidP="002A4A12">
      <w:pPr>
        <w:spacing w:after="0"/>
        <w:ind w:left="288" w:right="26" w:firstLine="709"/>
        <w:jc w:val="both"/>
        <w:rPr>
          <w:rFonts w:asciiTheme="majorHAnsi" w:hAnsiTheme="majorHAnsi" w:cs="Calibri"/>
          <w:color w:val="000000"/>
          <w:sz w:val="24"/>
          <w:szCs w:val="24"/>
          <w:shd w:val="clear" w:color="auto" w:fill="FFFFFF"/>
        </w:rPr>
      </w:pPr>
      <w:r w:rsidRPr="002A4A12">
        <w:rPr>
          <w:rFonts w:asciiTheme="majorHAnsi" w:hAnsiTheme="majorHAnsi" w:cs="Calibri"/>
          <w:color w:val="000000"/>
          <w:sz w:val="24"/>
          <w:szCs w:val="24"/>
          <w:shd w:val="clear" w:color="auto" w:fill="FFFFFF"/>
        </w:rPr>
        <w:t xml:space="preserve">The Covid-19 pandemic has a severe impact on the Indonesian economic sector. </w:t>
      </w:r>
      <w:r w:rsidR="002647AD" w:rsidRPr="002A4A12">
        <w:rPr>
          <w:rFonts w:asciiTheme="majorHAnsi" w:hAnsiTheme="majorHAnsi" w:cs="Calibri"/>
          <w:color w:val="000000"/>
          <w:sz w:val="24"/>
          <w:szCs w:val="24"/>
          <w:shd w:val="clear" w:color="auto" w:fill="FFFFFF"/>
        </w:rPr>
        <w:t xml:space="preserve">Ambarsari </w:t>
      </w:r>
      <w:r w:rsidRPr="002A4A12">
        <w:rPr>
          <w:rFonts w:asciiTheme="majorHAnsi" w:hAnsiTheme="majorHAnsi" w:cs="Calibri"/>
          <w:color w:val="000000"/>
          <w:sz w:val="24"/>
          <w:szCs w:val="24"/>
          <w:shd w:val="clear" w:color="auto" w:fill="FFFFFF"/>
        </w:rPr>
        <w:t>urges Islamic banks to adapt to the pandemic situation without delaying in many ways</w:t>
      </w:r>
      <w:r w:rsidR="002647AD">
        <w:rPr>
          <w:rFonts w:asciiTheme="majorHAnsi" w:hAnsiTheme="majorHAnsi" w:cs="Calibri"/>
          <w:color w:val="000000"/>
          <w:sz w:val="24"/>
          <w:szCs w:val="24"/>
          <w:shd w:val="clear" w:color="auto" w:fill="FFFFFF"/>
        </w:rPr>
        <w:t xml:space="preserve">, </w:t>
      </w:r>
      <w:r w:rsidRPr="002A4A12">
        <w:rPr>
          <w:rFonts w:asciiTheme="majorHAnsi" w:hAnsiTheme="majorHAnsi" w:cs="Calibri"/>
          <w:color w:val="000000"/>
          <w:sz w:val="24"/>
          <w:szCs w:val="24"/>
          <w:shd w:val="clear" w:color="auto" w:fill="FFFFFF"/>
        </w:rPr>
        <w:t>includes:</w:t>
      </w:r>
    </w:p>
    <w:p w14:paraId="6193B580" w14:textId="7FE7FE52" w:rsidR="00950AC1" w:rsidRPr="000D7DE5" w:rsidRDefault="000D7DE5" w:rsidP="00126E35">
      <w:pPr>
        <w:pStyle w:val="ListParagraph"/>
        <w:numPr>
          <w:ilvl w:val="0"/>
          <w:numId w:val="48"/>
        </w:numPr>
        <w:spacing w:after="0"/>
        <w:ind w:left="993"/>
        <w:jc w:val="both"/>
        <w:rPr>
          <w:rFonts w:asciiTheme="majorHAnsi" w:hAnsiTheme="majorHAnsi" w:cs="Calibri"/>
          <w:color w:val="000000"/>
          <w:sz w:val="24"/>
          <w:szCs w:val="24"/>
          <w:shd w:val="clear" w:color="auto" w:fill="FFFFFF"/>
          <w:lang w:val="id-ID"/>
        </w:rPr>
      </w:pPr>
      <w:r w:rsidRPr="000D7DE5">
        <w:rPr>
          <w:rFonts w:asciiTheme="majorHAnsi" w:hAnsiTheme="majorHAnsi" w:cs="Calibri"/>
          <w:color w:val="000000"/>
          <w:sz w:val="24"/>
          <w:szCs w:val="24"/>
          <w:shd w:val="clear" w:color="auto" w:fill="FFFFFF"/>
        </w:rPr>
        <w:t>Islamic banks are restructuring loans to reduce risks whereas carefully selecting clients since the banks are at infancy state.</w:t>
      </w:r>
    </w:p>
    <w:p w14:paraId="6866864B" w14:textId="4026E835" w:rsidR="000D7DE5" w:rsidRPr="00126E35" w:rsidRDefault="000D7DE5" w:rsidP="00126E35">
      <w:pPr>
        <w:pStyle w:val="ListParagraph"/>
        <w:numPr>
          <w:ilvl w:val="0"/>
          <w:numId w:val="48"/>
        </w:numPr>
        <w:spacing w:after="0"/>
        <w:ind w:left="993"/>
        <w:jc w:val="both"/>
        <w:rPr>
          <w:rFonts w:asciiTheme="majorHAnsi" w:hAnsiTheme="majorHAnsi" w:cs="Calibri"/>
          <w:color w:val="000000"/>
          <w:sz w:val="24"/>
          <w:szCs w:val="24"/>
          <w:shd w:val="clear" w:color="auto" w:fill="FFFFFF"/>
        </w:rPr>
      </w:pPr>
      <w:r w:rsidRPr="000D7DE5">
        <w:rPr>
          <w:rFonts w:asciiTheme="majorHAnsi" w:hAnsiTheme="majorHAnsi" w:cs="Calibri"/>
          <w:color w:val="000000"/>
          <w:sz w:val="24"/>
          <w:szCs w:val="24"/>
          <w:shd w:val="clear" w:color="auto" w:fill="FFFFFF"/>
        </w:rPr>
        <w:t>Islamic banks will focus on developing digital banking.</w:t>
      </w:r>
    </w:p>
    <w:p w14:paraId="35B17581" w14:textId="1F82EBC3" w:rsidR="000D7DE5" w:rsidRPr="00126E35" w:rsidRDefault="00DC7506" w:rsidP="00126E35">
      <w:pPr>
        <w:pStyle w:val="ListParagraph"/>
        <w:numPr>
          <w:ilvl w:val="0"/>
          <w:numId w:val="48"/>
        </w:numPr>
        <w:spacing w:after="0"/>
        <w:ind w:left="993"/>
        <w:jc w:val="both"/>
        <w:rPr>
          <w:rFonts w:asciiTheme="majorHAnsi" w:hAnsiTheme="majorHAnsi" w:cs="Calibri"/>
          <w:color w:val="000000"/>
          <w:sz w:val="24"/>
          <w:szCs w:val="24"/>
          <w:shd w:val="clear" w:color="auto" w:fill="FFFFFF"/>
        </w:rPr>
      </w:pPr>
      <w:r w:rsidRPr="00DC7506">
        <w:rPr>
          <w:rFonts w:asciiTheme="majorHAnsi" w:hAnsiTheme="majorHAnsi" w:cs="Calibri"/>
          <w:color w:val="000000"/>
          <w:sz w:val="24"/>
          <w:szCs w:val="24"/>
          <w:shd w:val="clear" w:color="auto" w:fill="FFFFFF"/>
        </w:rPr>
        <w:t>Islamic banks in particular need to help their customers small and medium enterprises.</w:t>
      </w:r>
    </w:p>
    <w:p w14:paraId="6FDE2EFA" w14:textId="11FC852B" w:rsidR="00DC7506" w:rsidRPr="00126E35" w:rsidRDefault="00DC7506" w:rsidP="00126E35">
      <w:pPr>
        <w:pStyle w:val="ListParagraph"/>
        <w:numPr>
          <w:ilvl w:val="0"/>
          <w:numId w:val="48"/>
        </w:numPr>
        <w:spacing w:after="0"/>
        <w:ind w:left="993"/>
        <w:jc w:val="both"/>
        <w:rPr>
          <w:rFonts w:asciiTheme="majorHAnsi" w:hAnsiTheme="majorHAnsi" w:cs="Calibri"/>
          <w:color w:val="000000"/>
          <w:sz w:val="24"/>
          <w:szCs w:val="24"/>
          <w:shd w:val="clear" w:color="auto" w:fill="FFFFFF"/>
        </w:rPr>
      </w:pPr>
      <w:r w:rsidRPr="00DC7506">
        <w:rPr>
          <w:rFonts w:asciiTheme="majorHAnsi" w:hAnsiTheme="majorHAnsi" w:cs="Calibri"/>
          <w:color w:val="000000"/>
          <w:sz w:val="24"/>
          <w:szCs w:val="24"/>
          <w:shd w:val="clear" w:color="auto" w:fill="FFFFFF"/>
        </w:rPr>
        <w:t>Islamic banks are required to carry out digital marketing.</w:t>
      </w:r>
    </w:p>
    <w:p w14:paraId="13B5CF34" w14:textId="1A9D0570" w:rsidR="00DC7506" w:rsidRPr="000D7DE5" w:rsidRDefault="00DC7506" w:rsidP="00126E35">
      <w:pPr>
        <w:pStyle w:val="ListParagraph"/>
        <w:numPr>
          <w:ilvl w:val="0"/>
          <w:numId w:val="48"/>
        </w:numPr>
        <w:spacing w:after="0"/>
        <w:ind w:left="993"/>
        <w:jc w:val="both"/>
        <w:rPr>
          <w:rFonts w:asciiTheme="majorHAnsi" w:hAnsiTheme="majorHAnsi" w:cs="Calibri"/>
          <w:color w:val="000000"/>
          <w:sz w:val="24"/>
          <w:szCs w:val="24"/>
          <w:shd w:val="clear" w:color="auto" w:fill="FFFFFF"/>
          <w:lang w:val="id-ID"/>
        </w:rPr>
      </w:pPr>
      <w:r w:rsidRPr="00DC7506">
        <w:rPr>
          <w:rFonts w:asciiTheme="majorHAnsi" w:hAnsiTheme="majorHAnsi" w:cs="Calibri"/>
          <w:color w:val="000000"/>
          <w:sz w:val="24"/>
          <w:szCs w:val="24"/>
          <w:shd w:val="clear" w:color="auto" w:fill="FFFFFF"/>
        </w:rPr>
        <w:t>Islamic banking implementers must be able to lead in agility and do not resort to other means.</w:t>
      </w:r>
    </w:p>
    <w:p w14:paraId="381753D4" w14:textId="3546C630" w:rsidR="00950AC1" w:rsidRDefault="00950AC1" w:rsidP="00950AC1">
      <w:pPr>
        <w:spacing w:after="0"/>
        <w:ind w:left="288" w:right="26" w:firstLine="709"/>
        <w:jc w:val="both"/>
        <w:rPr>
          <w:rFonts w:asciiTheme="majorHAnsi" w:hAnsiTheme="majorHAnsi" w:cs="Calibri"/>
          <w:color w:val="000000"/>
          <w:sz w:val="24"/>
          <w:szCs w:val="24"/>
          <w:shd w:val="clear" w:color="auto" w:fill="FFFFFF"/>
        </w:rPr>
      </w:pPr>
      <w:r w:rsidRPr="00950AC1">
        <w:rPr>
          <w:rFonts w:asciiTheme="majorHAnsi" w:hAnsiTheme="majorHAnsi" w:cs="Calibri"/>
          <w:color w:val="000000"/>
          <w:sz w:val="24"/>
          <w:szCs w:val="24"/>
          <w:shd w:val="clear" w:color="auto" w:fill="FFFFFF"/>
        </w:rPr>
        <w:t>The risks faced by Islamic banks includes, first, the difficulty in lending service as a result of the temporary suspension of the corporate sector as a result of preventing the Covid-19 pandemic with the Implementation and Reduction of Mass Social Restrictions (PSBB). Funding is absolutely required considering the demand for certain Bank products/services is decreasing. The second risk is the increased possibility of stalled debts. Results of</w:t>
      </w:r>
      <w:r w:rsidR="002F39DB" w:rsidRPr="00950AC1">
        <w:rPr>
          <w:rFonts w:asciiTheme="majorHAnsi" w:hAnsiTheme="majorHAnsi" w:cs="Calibri"/>
          <w:color w:val="000000"/>
          <w:sz w:val="24"/>
          <w:szCs w:val="24"/>
          <w:shd w:val="clear" w:color="auto" w:fill="FFFFFF"/>
        </w:rPr>
        <w:t>:</w:t>
      </w:r>
      <w:r w:rsidRPr="00950AC1">
        <w:rPr>
          <w:rFonts w:asciiTheme="majorHAnsi" w:hAnsiTheme="majorHAnsi" w:cs="Calibri"/>
          <w:color w:val="000000"/>
          <w:sz w:val="24"/>
          <w:szCs w:val="24"/>
          <w:shd w:val="clear" w:color="auto" w:fill="FFFFFF"/>
        </w:rPr>
        <w:t xml:space="preserve"> Cessation of production of go</w:t>
      </w:r>
      <w:r w:rsidR="002F39DB">
        <w:rPr>
          <w:rFonts w:asciiTheme="majorHAnsi" w:hAnsiTheme="majorHAnsi" w:cs="Calibri"/>
          <w:color w:val="000000"/>
          <w:sz w:val="24"/>
          <w:szCs w:val="24"/>
          <w:shd w:val="clear" w:color="auto" w:fill="FFFFFF"/>
        </w:rPr>
        <w:t>ods due to a decrease in demand</w:t>
      </w:r>
      <w:r w:rsidRPr="00950AC1">
        <w:rPr>
          <w:rFonts w:asciiTheme="majorHAnsi" w:hAnsiTheme="majorHAnsi" w:cs="Calibri"/>
          <w:color w:val="000000"/>
          <w:sz w:val="24"/>
          <w:szCs w:val="24"/>
          <w:shd w:val="clear" w:color="auto" w:fill="FFFFFF"/>
        </w:rPr>
        <w:t>, Termination of employment with difficult installments (PHK), and Bank loans.</w:t>
      </w:r>
      <w:r w:rsidR="00B872C4">
        <w:rPr>
          <w:rStyle w:val="FootnoteReference"/>
          <w:rFonts w:asciiTheme="majorHAnsi" w:hAnsiTheme="majorHAnsi" w:cs="Calibri"/>
          <w:color w:val="000000"/>
          <w:sz w:val="24"/>
          <w:szCs w:val="24"/>
          <w:shd w:val="clear" w:color="auto" w:fill="FFFFFF"/>
        </w:rPr>
        <w:footnoteReference w:id="22"/>
      </w:r>
    </w:p>
    <w:p w14:paraId="4CB47D17" w14:textId="7426E538" w:rsidR="00277885" w:rsidRDefault="00277885" w:rsidP="00277885">
      <w:pPr>
        <w:spacing w:after="0"/>
        <w:ind w:left="288" w:right="26" w:firstLine="709"/>
        <w:jc w:val="both"/>
        <w:rPr>
          <w:rFonts w:asciiTheme="majorHAnsi" w:hAnsiTheme="majorHAnsi" w:cs="Calibri"/>
          <w:color w:val="000000"/>
          <w:sz w:val="24"/>
          <w:szCs w:val="24"/>
          <w:shd w:val="clear" w:color="auto" w:fill="FFFFFF"/>
        </w:rPr>
      </w:pPr>
      <w:r w:rsidRPr="00277885">
        <w:rPr>
          <w:rFonts w:asciiTheme="majorHAnsi" w:hAnsiTheme="majorHAnsi" w:cs="Calibri"/>
          <w:color w:val="000000"/>
          <w:sz w:val="24"/>
          <w:szCs w:val="24"/>
          <w:shd w:val="clear" w:color="auto" w:fill="FFFFFF"/>
        </w:rPr>
        <w:t>The third risk is the margin to be paid for bank customer deposits. It is precisely makes Islamic banks better than generally conventional ones. Islamic banks apply a profit-sharing system. The system also allows the amount of profit-sharing commission to decrease along with the decline in Islamic banking income. Based on the description and analysis, compared to traditional banks, Islamic banks are more favorable and advantageous.</w:t>
      </w:r>
      <w:r w:rsidR="00912E25">
        <w:rPr>
          <w:rStyle w:val="FootnoteReference"/>
          <w:rFonts w:asciiTheme="majorHAnsi" w:hAnsiTheme="majorHAnsi" w:cs="Calibri"/>
          <w:color w:val="000000"/>
          <w:sz w:val="24"/>
          <w:szCs w:val="24"/>
          <w:shd w:val="clear" w:color="auto" w:fill="FFFFFF"/>
        </w:rPr>
        <w:footnoteReference w:id="23"/>
      </w:r>
    </w:p>
    <w:p w14:paraId="5CD730CE" w14:textId="77777777" w:rsidR="00C25FD4" w:rsidRDefault="00C25FD4" w:rsidP="00767B86">
      <w:pPr>
        <w:pStyle w:val="ListParagraph"/>
        <w:tabs>
          <w:tab w:val="left" w:pos="0"/>
        </w:tabs>
        <w:spacing w:after="0"/>
        <w:ind w:left="0"/>
        <w:rPr>
          <w:rFonts w:asciiTheme="majorHAnsi" w:hAnsiTheme="majorHAnsi" w:cs="Calibri"/>
          <w:b/>
          <w:bCs/>
          <w:sz w:val="24"/>
          <w:szCs w:val="24"/>
          <w:lang w:val="id-ID"/>
        </w:rPr>
      </w:pPr>
    </w:p>
    <w:p w14:paraId="0B1382A5" w14:textId="77777777" w:rsidR="00C25FD4" w:rsidRPr="006F7E1F" w:rsidRDefault="00C25FD4" w:rsidP="00767B86">
      <w:pPr>
        <w:pStyle w:val="ListParagraph"/>
        <w:tabs>
          <w:tab w:val="left" w:pos="0"/>
        </w:tabs>
        <w:spacing w:after="0"/>
        <w:ind w:left="0"/>
        <w:rPr>
          <w:rFonts w:asciiTheme="majorHAnsi" w:hAnsiTheme="majorHAnsi" w:cs="Calibri"/>
          <w:b/>
          <w:bCs/>
          <w:sz w:val="24"/>
          <w:szCs w:val="24"/>
          <w:lang w:val="id-ID"/>
        </w:rPr>
      </w:pPr>
    </w:p>
    <w:p w14:paraId="6E32A853" w14:textId="58844BBC" w:rsidR="008862D7" w:rsidRPr="003618CA" w:rsidRDefault="00277885" w:rsidP="00277885">
      <w:pPr>
        <w:pStyle w:val="ListParagraph"/>
        <w:spacing w:after="0"/>
        <w:ind w:left="288"/>
        <w:rPr>
          <w:rFonts w:asciiTheme="majorHAnsi" w:hAnsiTheme="majorHAnsi" w:cs="Calibri"/>
          <w:b/>
          <w:bCs/>
          <w:sz w:val="24"/>
          <w:szCs w:val="24"/>
          <w:lang w:val="id-ID"/>
        </w:rPr>
      </w:pPr>
      <w:r w:rsidRPr="00277885">
        <w:rPr>
          <w:rFonts w:asciiTheme="majorHAnsi" w:hAnsiTheme="majorHAnsi" w:cs="Calibri"/>
          <w:b/>
          <w:bCs/>
          <w:sz w:val="24"/>
          <w:szCs w:val="24"/>
        </w:rPr>
        <w:t>CONCLUSION</w:t>
      </w:r>
    </w:p>
    <w:p w14:paraId="747CAD29" w14:textId="3CB11547" w:rsidR="000D6384" w:rsidRDefault="00277885" w:rsidP="00277885">
      <w:pPr>
        <w:spacing w:after="0"/>
        <w:ind w:left="288" w:firstLine="720"/>
        <w:jc w:val="both"/>
        <w:rPr>
          <w:rFonts w:asciiTheme="majorHAnsi" w:hAnsiTheme="majorHAnsi" w:cs="Calibri"/>
          <w:sz w:val="24"/>
          <w:szCs w:val="24"/>
        </w:rPr>
      </w:pPr>
      <w:r w:rsidRPr="00277885">
        <w:rPr>
          <w:rFonts w:asciiTheme="majorHAnsi" w:hAnsiTheme="majorHAnsi" w:cs="Calibri"/>
          <w:sz w:val="24"/>
          <w:szCs w:val="24"/>
        </w:rPr>
        <w:t xml:space="preserve">Based on the efficiency calculation, accordingly Bank Syariah Indonesia in period of 2019-2020 shows an efficiency level of -0.06%, hence the absolute value applied to assess its efficiency is 0.00001%. In 2020-2021 there is an efficiency development of 0.23%. From these calculations, it can be concluded that the efficiency of Bank Syariah Indonesia decreased from 2019 to 2020, but the trend increased from 2020 to 2021 period. Contributing factor of the </w:t>
      </w:r>
      <w:r w:rsidRPr="00277885">
        <w:rPr>
          <w:rFonts w:asciiTheme="majorHAnsi" w:hAnsiTheme="majorHAnsi" w:cs="Calibri"/>
          <w:sz w:val="24"/>
          <w:szCs w:val="24"/>
        </w:rPr>
        <w:lastRenderedPageBreak/>
        <w:t>efficiency decline in 2019-2020 was nothing but a form of the impact of the Covid-19 pandemic. However, in the span of 2020-2021 there is an increase in the performance of Indonesian Islamic Banks, this can be witnessed from the significant increase in Return on Assets (ROA) accordingly the efficiency value of Indonesian Islamic Banks increased in that year (Setyowati, D.H., 2020).</w:t>
      </w:r>
    </w:p>
    <w:p w14:paraId="708A0E5F" w14:textId="7A42A7D5" w:rsidR="00277885" w:rsidRPr="00BB6E21" w:rsidRDefault="00277885" w:rsidP="00277885">
      <w:pPr>
        <w:spacing w:after="0"/>
        <w:ind w:left="288" w:firstLine="720"/>
        <w:jc w:val="both"/>
        <w:rPr>
          <w:rFonts w:asciiTheme="majorHAnsi" w:hAnsiTheme="majorHAnsi" w:cs="Calibri"/>
          <w:bCs/>
          <w:sz w:val="24"/>
          <w:szCs w:val="24"/>
          <w:lang w:val="id-ID"/>
        </w:rPr>
      </w:pPr>
      <w:r w:rsidRPr="00277885">
        <w:rPr>
          <w:rFonts w:asciiTheme="majorHAnsi" w:hAnsiTheme="majorHAnsi" w:cs="Calibri"/>
          <w:bCs/>
          <w:sz w:val="24"/>
          <w:szCs w:val="24"/>
        </w:rPr>
        <w:t>Subsequently, the calculation value of the influence of spiritual prayer shows an increase trend. In 2020 the value of the weight of the prayer obtained at 80%, while in 2021 it increases by 90%. Calculating value of the influence of prayer by multiplying the efficiency level with the weight value of the prayer, creating the harmony between religious values ​​and the efficiency level of performance at the bank. The value of the influence of prayer in 2020 is 0.0008% and in 2021 it is 0.207%. Based on the given calculations, there is a drastic increase in the value of the influence of prayer from 2020 to 2021 respectively (Mohammed, Ibrahim, and Heiba, 2021).</w:t>
      </w:r>
    </w:p>
    <w:p w14:paraId="59C5B2E6" w14:textId="77777777" w:rsidR="00145241" w:rsidRPr="00BB6E21" w:rsidRDefault="00145241" w:rsidP="00145241">
      <w:pPr>
        <w:spacing w:after="0"/>
        <w:jc w:val="both"/>
        <w:rPr>
          <w:rFonts w:asciiTheme="majorHAnsi" w:hAnsiTheme="majorHAnsi" w:cs="Calibri"/>
          <w:sz w:val="24"/>
          <w:szCs w:val="24"/>
          <w:lang w:val="id-ID"/>
        </w:rPr>
      </w:pPr>
    </w:p>
    <w:p w14:paraId="76CF65B3" w14:textId="77777777" w:rsidR="00145241" w:rsidRPr="00145241" w:rsidRDefault="00145241" w:rsidP="00145241">
      <w:pPr>
        <w:spacing w:after="0"/>
        <w:jc w:val="both"/>
        <w:rPr>
          <w:rFonts w:asciiTheme="majorHAnsi" w:hAnsiTheme="majorHAnsi" w:cs="Calibri"/>
          <w:sz w:val="24"/>
          <w:szCs w:val="24"/>
          <w:lang w:val="id-ID"/>
        </w:rPr>
      </w:pPr>
    </w:p>
    <w:p w14:paraId="0122B288" w14:textId="527E93D5" w:rsidR="008862D7" w:rsidRDefault="00B26520" w:rsidP="00D942E2">
      <w:pPr>
        <w:spacing w:after="0"/>
        <w:ind w:left="288"/>
        <w:rPr>
          <w:rFonts w:asciiTheme="majorHAnsi" w:eastAsia="Times New Roman" w:hAnsiTheme="majorHAnsi"/>
          <w:b/>
          <w:bCs/>
          <w:color w:val="000000"/>
          <w:sz w:val="24"/>
          <w:szCs w:val="24"/>
        </w:rPr>
      </w:pPr>
      <w:r w:rsidRPr="00B26520">
        <w:rPr>
          <w:rFonts w:asciiTheme="majorHAnsi" w:eastAsia="Times New Roman" w:hAnsiTheme="majorHAnsi"/>
          <w:b/>
          <w:bCs/>
          <w:color w:val="000000"/>
          <w:sz w:val="24"/>
          <w:szCs w:val="24"/>
        </w:rPr>
        <w:t>REFERENCES</w:t>
      </w:r>
    </w:p>
    <w:p w14:paraId="0F77E69D" w14:textId="77777777" w:rsidR="006607C2" w:rsidRPr="001200F2" w:rsidRDefault="006607C2" w:rsidP="006607C2">
      <w:pPr>
        <w:spacing w:after="0"/>
        <w:ind w:left="1008" w:hanging="720"/>
        <w:jc w:val="both"/>
        <w:rPr>
          <w:rFonts w:asciiTheme="majorHAnsi" w:eastAsia="Times New Roman" w:hAnsiTheme="majorHAnsi"/>
          <w:sz w:val="24"/>
          <w:szCs w:val="24"/>
        </w:rPr>
      </w:pPr>
      <w:r w:rsidRPr="006607C2">
        <w:rPr>
          <w:rFonts w:asciiTheme="majorHAnsi" w:eastAsia="Times New Roman" w:hAnsiTheme="majorHAnsi"/>
          <w:color w:val="000000"/>
          <w:sz w:val="24"/>
          <w:szCs w:val="24"/>
        </w:rPr>
        <w:t xml:space="preserve">Aziz, Roikhan Mochamad., Ismail, Fadel. (2020). Refleksivitas Hahslm Dalam Likuiditas Bank Pembiayaan Rakyat Syariah Di Lingkar Jakarta. </w:t>
      </w:r>
      <w:r w:rsidRPr="006607C2">
        <w:rPr>
          <w:rFonts w:asciiTheme="majorHAnsi" w:eastAsia="Times New Roman" w:hAnsiTheme="majorHAnsi"/>
          <w:i/>
          <w:color w:val="000000"/>
          <w:sz w:val="24"/>
          <w:szCs w:val="24"/>
        </w:rPr>
        <w:t xml:space="preserve">Prosiding Seminar Nasional (SNAP). </w:t>
      </w:r>
      <w:r w:rsidRPr="006607C2">
        <w:rPr>
          <w:rFonts w:asciiTheme="majorHAnsi" w:eastAsia="Times New Roman" w:hAnsiTheme="majorHAnsi"/>
          <w:color w:val="000000"/>
          <w:sz w:val="24"/>
          <w:szCs w:val="24"/>
        </w:rPr>
        <w:t xml:space="preserve">Perbanas Institute. </w:t>
      </w:r>
      <w:hyperlink r:id="rId20" w:history="1">
        <w:r w:rsidRPr="001200F2">
          <w:rPr>
            <w:rStyle w:val="Hyperlink"/>
            <w:rFonts w:asciiTheme="majorHAnsi" w:eastAsia="Times New Roman" w:hAnsiTheme="majorHAnsi"/>
            <w:color w:val="auto"/>
            <w:sz w:val="24"/>
            <w:szCs w:val="24"/>
            <w:u w:val="none"/>
          </w:rPr>
          <w:t>http://snap.perbanas.id/wp-content/uploads/2020/03/Book-of-Abstracts-SNAP-2020.pdf</w:t>
        </w:r>
      </w:hyperlink>
    </w:p>
    <w:p w14:paraId="05D6DAF2" w14:textId="77777777" w:rsidR="006607C2" w:rsidRPr="006607C2" w:rsidRDefault="006607C2" w:rsidP="006607C2">
      <w:pPr>
        <w:spacing w:after="0"/>
        <w:ind w:left="1008" w:hanging="720"/>
        <w:jc w:val="both"/>
        <w:rPr>
          <w:rFonts w:asciiTheme="majorHAnsi" w:eastAsia="Times New Roman" w:hAnsiTheme="majorHAnsi"/>
          <w:color w:val="000000"/>
          <w:sz w:val="24"/>
          <w:szCs w:val="24"/>
        </w:rPr>
      </w:pPr>
      <w:bookmarkStart w:id="2" w:name="_2et92p0"/>
      <w:bookmarkEnd w:id="2"/>
      <w:r w:rsidRPr="006607C2">
        <w:rPr>
          <w:rFonts w:asciiTheme="majorHAnsi" w:eastAsia="Times New Roman" w:hAnsiTheme="majorHAnsi"/>
          <w:color w:val="000000"/>
          <w:sz w:val="24"/>
          <w:szCs w:val="24"/>
        </w:rPr>
        <w:t xml:space="preserve">Aziz, Roikhan Mochamad., Jayaprawira, Acep R., Amanda, Dita Nur. (2020). The Risk of Investment on Capital Liquidity Utility With Religiosity Index In Indonesian Property. </w:t>
      </w:r>
      <w:r w:rsidRPr="006607C2">
        <w:rPr>
          <w:rFonts w:asciiTheme="majorHAnsi" w:eastAsia="Times New Roman" w:hAnsiTheme="majorHAnsi"/>
          <w:i/>
          <w:color w:val="000000"/>
          <w:sz w:val="24"/>
          <w:szCs w:val="24"/>
        </w:rPr>
        <w:t xml:space="preserve">Proceeding of 7th National and International Research Conference. </w:t>
      </w:r>
      <w:r w:rsidRPr="006607C2">
        <w:rPr>
          <w:rFonts w:asciiTheme="majorHAnsi" w:eastAsia="Times New Roman" w:hAnsiTheme="majorHAnsi"/>
          <w:color w:val="000000"/>
          <w:sz w:val="24"/>
          <w:szCs w:val="24"/>
        </w:rPr>
        <w:t>Pathumthani University Thailand.</w:t>
      </w:r>
    </w:p>
    <w:p w14:paraId="1E9A3B73" w14:textId="77777777" w:rsidR="006607C2" w:rsidRPr="006607C2" w:rsidRDefault="006607C2" w:rsidP="006607C2">
      <w:pPr>
        <w:spacing w:after="0"/>
        <w:ind w:left="1008" w:hanging="720"/>
        <w:jc w:val="both"/>
        <w:rPr>
          <w:rFonts w:asciiTheme="majorHAnsi" w:eastAsia="Times New Roman" w:hAnsiTheme="majorHAnsi"/>
          <w:sz w:val="24"/>
          <w:szCs w:val="24"/>
        </w:rPr>
      </w:pPr>
      <w:bookmarkStart w:id="3" w:name="_tyjcwt"/>
      <w:bookmarkEnd w:id="3"/>
      <w:r w:rsidRPr="006607C2">
        <w:rPr>
          <w:rFonts w:asciiTheme="majorHAnsi" w:eastAsia="Times New Roman" w:hAnsiTheme="majorHAnsi"/>
          <w:color w:val="000000"/>
          <w:sz w:val="24"/>
          <w:szCs w:val="24"/>
        </w:rPr>
        <w:t xml:space="preserve">Aziz, Roikhan Mochamad., Susanti, Melly., Suwarni., Sabri., Firmansyah, Iman., Fahlevi, Mochammad. (2020). Financial Reporting of Non-Profit Pharmacists Organizations Based on Financial Standards. </w:t>
      </w:r>
      <w:r w:rsidRPr="006607C2">
        <w:rPr>
          <w:rFonts w:asciiTheme="majorHAnsi" w:eastAsia="Times New Roman" w:hAnsiTheme="majorHAnsi"/>
          <w:i/>
          <w:color w:val="000000"/>
          <w:sz w:val="24"/>
          <w:szCs w:val="24"/>
        </w:rPr>
        <w:t xml:space="preserve">Sys Rev Pharm 2020; 11 (11): 1150-1156. </w:t>
      </w:r>
      <w:hyperlink r:id="rId21" w:history="1">
        <w:r w:rsidRPr="006607C2">
          <w:rPr>
            <w:rStyle w:val="Hyperlink"/>
            <w:rFonts w:asciiTheme="majorHAnsi" w:eastAsia="Times New Roman" w:hAnsiTheme="majorHAnsi"/>
            <w:color w:val="auto"/>
            <w:sz w:val="24"/>
            <w:szCs w:val="24"/>
          </w:rPr>
          <w:t>http://www.sysrevpharm.org/?mno=25119</w:t>
        </w:r>
      </w:hyperlink>
    </w:p>
    <w:p w14:paraId="1DE773D6" w14:textId="77777777" w:rsidR="006607C2" w:rsidRPr="006607C2" w:rsidRDefault="006607C2" w:rsidP="006607C2">
      <w:pPr>
        <w:spacing w:after="0"/>
        <w:ind w:left="1008" w:hanging="720"/>
        <w:jc w:val="both"/>
        <w:rPr>
          <w:rFonts w:asciiTheme="majorHAnsi" w:eastAsia="Times New Roman" w:hAnsiTheme="majorHAnsi"/>
          <w:sz w:val="24"/>
          <w:szCs w:val="24"/>
        </w:rPr>
      </w:pPr>
      <w:r w:rsidRPr="006607C2">
        <w:rPr>
          <w:rFonts w:asciiTheme="majorHAnsi" w:eastAsia="Times New Roman" w:hAnsiTheme="majorHAnsi"/>
          <w:color w:val="000000"/>
          <w:sz w:val="24"/>
          <w:szCs w:val="24"/>
        </w:rPr>
        <w:t xml:space="preserve">Aziz, Roikhan Mochamad., Syam'aeni, Muhammad Asyep., Sya'baniyah Nisfina., Fatihah, Izzah Corrie. (2020). Peningkatan Kemampuan Literasi Digital bagi Siswa Kelas 4 dan 5 SDN Tanjakan 3, Kabupaten Tangerang. Jurnal Pengabdian Pada Masyarakat Vol. 5, No. 1. </w:t>
      </w:r>
      <w:hyperlink r:id="rId22" w:history="1">
        <w:r w:rsidRPr="006607C2">
          <w:rPr>
            <w:rStyle w:val="Hyperlink"/>
            <w:rFonts w:asciiTheme="majorHAnsi" w:eastAsia="Times New Roman" w:hAnsiTheme="majorHAnsi"/>
            <w:color w:val="auto"/>
            <w:sz w:val="24"/>
            <w:szCs w:val="24"/>
          </w:rPr>
          <w:t>http://ppm.ejournal.id</w:t>
        </w:r>
      </w:hyperlink>
    </w:p>
    <w:p w14:paraId="5353900A" w14:textId="77777777" w:rsidR="006607C2" w:rsidRPr="006607C2" w:rsidRDefault="006607C2" w:rsidP="006607C2">
      <w:pPr>
        <w:spacing w:after="0"/>
        <w:ind w:left="1008" w:hanging="720"/>
        <w:jc w:val="both"/>
        <w:rPr>
          <w:rFonts w:asciiTheme="majorHAnsi" w:eastAsia="Times New Roman" w:hAnsiTheme="majorHAnsi"/>
          <w:sz w:val="24"/>
          <w:szCs w:val="24"/>
        </w:rPr>
      </w:pPr>
      <w:r w:rsidRPr="006607C2">
        <w:rPr>
          <w:rFonts w:asciiTheme="majorHAnsi" w:eastAsia="Times New Roman" w:hAnsiTheme="majorHAnsi"/>
          <w:color w:val="000000"/>
          <w:sz w:val="24"/>
          <w:szCs w:val="24"/>
        </w:rPr>
        <w:t xml:space="preserve">Aziz, Roikhan Mochamad., Syanwani, Munifah., Jayaprawira, Acep R., Hidayah, Nur., Sekar, Pramesti. (2020). Performance Of Hajj Fund In Indonesia And Malaysia. </w:t>
      </w:r>
      <w:r w:rsidRPr="006607C2">
        <w:rPr>
          <w:rFonts w:asciiTheme="majorHAnsi" w:eastAsia="Times New Roman" w:hAnsiTheme="majorHAnsi"/>
          <w:i/>
          <w:color w:val="000000"/>
          <w:sz w:val="24"/>
          <w:szCs w:val="24"/>
        </w:rPr>
        <w:t>Hamdard Islamicus Vol. 43 No. S.1 (2020), 685-696.</w:t>
      </w:r>
      <w:r w:rsidRPr="006607C2">
        <w:rPr>
          <w:rFonts w:asciiTheme="majorHAnsi" w:eastAsia="Times New Roman" w:hAnsiTheme="majorHAnsi"/>
          <w:color w:val="000000"/>
          <w:sz w:val="24"/>
          <w:szCs w:val="24"/>
        </w:rPr>
        <w:t xml:space="preserve"> </w:t>
      </w:r>
      <w:hyperlink r:id="rId23" w:history="1">
        <w:r w:rsidRPr="006607C2">
          <w:rPr>
            <w:rStyle w:val="Hyperlink"/>
            <w:rFonts w:asciiTheme="majorHAnsi" w:eastAsia="Times New Roman" w:hAnsiTheme="majorHAnsi"/>
            <w:color w:val="auto"/>
            <w:sz w:val="24"/>
            <w:szCs w:val="24"/>
          </w:rPr>
          <w:t>https://hamdardislamicus.com.pk/journal/index.php/hamdardislamicus/article/view/174</w:t>
        </w:r>
      </w:hyperlink>
    </w:p>
    <w:p w14:paraId="47C9AB6B" w14:textId="77777777" w:rsidR="006607C2" w:rsidRPr="006607C2" w:rsidRDefault="006607C2" w:rsidP="006607C2">
      <w:pPr>
        <w:spacing w:after="0"/>
        <w:ind w:left="1008" w:hanging="720"/>
        <w:jc w:val="both"/>
        <w:rPr>
          <w:rFonts w:asciiTheme="majorHAnsi" w:eastAsia="Times New Roman" w:hAnsiTheme="majorHAnsi"/>
          <w:color w:val="000000"/>
          <w:sz w:val="24"/>
          <w:szCs w:val="24"/>
        </w:rPr>
      </w:pPr>
      <w:r w:rsidRPr="006607C2">
        <w:rPr>
          <w:rFonts w:asciiTheme="majorHAnsi" w:eastAsia="Times New Roman" w:hAnsiTheme="majorHAnsi"/>
          <w:color w:val="000000"/>
          <w:sz w:val="24"/>
          <w:szCs w:val="24"/>
        </w:rPr>
        <w:t>Bahri, B. (2018). Kewirausahaan Islam: Penerapan Konsep Berwirausaha dan Bertransaksi Syariah dengan Metode Dimensi Vertikal (Hablumminallah) dan Dimensi Horizontal (Hablumminannas). Maro, 1(2), 67-86.</w:t>
      </w:r>
    </w:p>
    <w:p w14:paraId="1EC21545" w14:textId="77777777" w:rsidR="006607C2" w:rsidRPr="006607C2" w:rsidRDefault="006607C2" w:rsidP="006607C2">
      <w:pPr>
        <w:spacing w:after="0"/>
        <w:ind w:left="1008" w:hanging="720"/>
        <w:jc w:val="both"/>
        <w:rPr>
          <w:rFonts w:asciiTheme="majorHAnsi" w:eastAsia="Times New Roman" w:hAnsiTheme="majorHAnsi"/>
          <w:color w:val="000000"/>
          <w:sz w:val="24"/>
          <w:szCs w:val="24"/>
        </w:rPr>
      </w:pPr>
      <w:r w:rsidRPr="006607C2">
        <w:rPr>
          <w:rFonts w:asciiTheme="majorHAnsi" w:eastAsia="Times New Roman" w:hAnsiTheme="majorHAnsi"/>
          <w:color w:val="000000"/>
          <w:sz w:val="24"/>
          <w:szCs w:val="24"/>
        </w:rPr>
        <w:lastRenderedPageBreak/>
        <w:t>Conservation and economic efficiency: an approach to materials policy. RFF Press. (Page, T. (2013).</w:t>
      </w:r>
    </w:p>
    <w:p w14:paraId="16B6B30A" w14:textId="77777777" w:rsidR="006607C2" w:rsidRPr="006607C2" w:rsidRDefault="006607C2" w:rsidP="006607C2">
      <w:pPr>
        <w:spacing w:after="0"/>
        <w:ind w:left="1008" w:hanging="720"/>
        <w:jc w:val="both"/>
        <w:rPr>
          <w:rFonts w:asciiTheme="majorHAnsi" w:eastAsia="Times New Roman" w:hAnsiTheme="majorHAnsi"/>
          <w:color w:val="000000"/>
          <w:sz w:val="24"/>
          <w:szCs w:val="24"/>
        </w:rPr>
      </w:pPr>
      <w:r w:rsidRPr="006607C2">
        <w:rPr>
          <w:rFonts w:asciiTheme="majorHAnsi" w:eastAsia="Times New Roman" w:hAnsiTheme="majorHAnsi"/>
          <w:color w:val="000000"/>
          <w:sz w:val="24"/>
          <w:szCs w:val="24"/>
        </w:rPr>
        <w:t>Herizal, M., Diana, D., Rezti, R., &amp; Suryani, S. (2022). The Effect of Capital Adequacy Ratio, Loan to Deposit Ratio, and Operational Costs than Operating Revenue on Return on Assets: Study on Conventional Banks in Indonesia. Hut Publication Business and Management, 1(2), 42-59.Sihotang, M. K., Hasanah, U., &amp; Hayati, I. (2022). Model Of Sharia Bank Profitability Determination Factors By Measuring Internal And Externals Variables. Indonesian Interdisciplinary Journal Of Sharia Economics (Iijse), 5(1), 235-251.</w:t>
      </w:r>
    </w:p>
    <w:p w14:paraId="79FF383B" w14:textId="77777777" w:rsidR="006607C2" w:rsidRPr="006607C2" w:rsidRDefault="006607C2" w:rsidP="006607C2">
      <w:pPr>
        <w:spacing w:after="0"/>
        <w:ind w:left="1008" w:hanging="720"/>
        <w:jc w:val="both"/>
        <w:rPr>
          <w:rFonts w:asciiTheme="majorHAnsi" w:eastAsia="Times New Roman" w:hAnsiTheme="majorHAnsi"/>
          <w:color w:val="000000"/>
          <w:sz w:val="24"/>
          <w:szCs w:val="24"/>
        </w:rPr>
      </w:pPr>
      <w:r w:rsidRPr="006607C2">
        <w:rPr>
          <w:rFonts w:asciiTheme="majorHAnsi" w:eastAsia="Times New Roman" w:hAnsiTheme="majorHAnsi"/>
          <w:color w:val="000000"/>
          <w:sz w:val="24"/>
          <w:szCs w:val="24"/>
        </w:rPr>
        <w:t>Kaban, R. F., Setyawati, N., Syafila, F. S. A., Soeminar, A. A., Amelia, M. P., Hanifa, A. M., &amp; Dewi, P. (2022). Analysis of Islamic Banking Efficiency in Indonesia in the Digital Bank Era during the Covid-19 Pandemic. Perisai: Islamic Banking and Finance Journal, 6(2), 166-174.</w:t>
      </w:r>
    </w:p>
    <w:p w14:paraId="4F1D3914" w14:textId="77777777" w:rsidR="006607C2" w:rsidRPr="006607C2" w:rsidRDefault="006607C2" w:rsidP="006607C2">
      <w:pPr>
        <w:spacing w:after="0"/>
        <w:ind w:left="1008" w:hanging="720"/>
        <w:jc w:val="both"/>
        <w:rPr>
          <w:rFonts w:asciiTheme="majorHAnsi" w:eastAsia="Times New Roman" w:hAnsiTheme="majorHAnsi"/>
          <w:color w:val="000000"/>
          <w:sz w:val="24"/>
          <w:szCs w:val="24"/>
        </w:rPr>
      </w:pPr>
      <w:r w:rsidRPr="006607C2">
        <w:rPr>
          <w:rFonts w:asciiTheme="majorHAnsi" w:eastAsia="Times New Roman" w:hAnsiTheme="majorHAnsi"/>
          <w:color w:val="000000"/>
          <w:sz w:val="24"/>
          <w:szCs w:val="24"/>
        </w:rPr>
        <w:t>Liang, H. Y., &amp; Reichert, A. K. (2012). The impact of banks and non-bank financial institutions on economic growth. The Service Industries Journal, 32(5), 699-717.</w:t>
      </w:r>
    </w:p>
    <w:p w14:paraId="2F2381AB" w14:textId="77777777" w:rsidR="006607C2" w:rsidRPr="006607C2" w:rsidRDefault="006607C2" w:rsidP="006607C2">
      <w:pPr>
        <w:spacing w:after="0"/>
        <w:ind w:left="1008" w:hanging="720"/>
        <w:jc w:val="both"/>
        <w:rPr>
          <w:rFonts w:asciiTheme="majorHAnsi" w:eastAsia="Times New Roman" w:hAnsiTheme="majorHAnsi"/>
          <w:sz w:val="24"/>
          <w:szCs w:val="24"/>
        </w:rPr>
      </w:pPr>
      <w:r w:rsidRPr="006607C2">
        <w:rPr>
          <w:rFonts w:asciiTheme="majorHAnsi" w:eastAsia="Times New Roman" w:hAnsiTheme="majorHAnsi"/>
          <w:color w:val="000000"/>
          <w:sz w:val="24"/>
          <w:szCs w:val="24"/>
        </w:rPr>
        <w:t xml:space="preserve">MA, Roikhan., Muttaqien, Zainal., NA, Dita., Ari. (2021). Strengthening Awareness Of Paying Zakat. </w:t>
      </w:r>
      <w:r w:rsidRPr="006607C2">
        <w:rPr>
          <w:rFonts w:asciiTheme="majorHAnsi" w:eastAsia="Times New Roman" w:hAnsiTheme="majorHAnsi"/>
          <w:i/>
          <w:color w:val="000000"/>
          <w:sz w:val="24"/>
          <w:szCs w:val="24"/>
        </w:rPr>
        <w:t xml:space="preserve">Jurnal Ilmiah MEA (Manajemen, Ekonomi, dan Akuntansi) (JIMEA). </w:t>
      </w:r>
      <w:r w:rsidRPr="006607C2">
        <w:rPr>
          <w:rFonts w:asciiTheme="majorHAnsi" w:eastAsia="Times New Roman" w:hAnsiTheme="majorHAnsi"/>
          <w:color w:val="000000"/>
          <w:sz w:val="24"/>
          <w:szCs w:val="24"/>
        </w:rPr>
        <w:t xml:space="preserve">Vol. 5 No. 1. STIEM Bandung. </w:t>
      </w:r>
      <w:hyperlink r:id="rId24" w:history="1">
        <w:r w:rsidRPr="006607C2">
          <w:rPr>
            <w:rStyle w:val="Hyperlink"/>
            <w:rFonts w:asciiTheme="majorHAnsi" w:eastAsia="Times New Roman" w:hAnsiTheme="majorHAnsi"/>
            <w:color w:val="auto"/>
            <w:sz w:val="24"/>
            <w:szCs w:val="24"/>
          </w:rPr>
          <w:t>http://journal.stiemb.ac.id/index.php/mea/article/view/1858</w:t>
        </w:r>
      </w:hyperlink>
      <w:r w:rsidRPr="006607C2">
        <w:rPr>
          <w:rFonts w:asciiTheme="majorHAnsi" w:eastAsia="Times New Roman" w:hAnsiTheme="majorHAnsi"/>
          <w:sz w:val="24"/>
          <w:szCs w:val="24"/>
        </w:rPr>
        <w:t>.</w:t>
      </w:r>
    </w:p>
    <w:p w14:paraId="003248F4" w14:textId="77777777" w:rsidR="006607C2" w:rsidRPr="006607C2" w:rsidRDefault="006607C2" w:rsidP="006607C2">
      <w:pPr>
        <w:spacing w:after="0"/>
        <w:ind w:left="1008" w:hanging="720"/>
        <w:jc w:val="both"/>
        <w:rPr>
          <w:rFonts w:asciiTheme="majorHAnsi" w:eastAsia="Times New Roman" w:hAnsiTheme="majorHAnsi"/>
          <w:color w:val="000000"/>
          <w:sz w:val="24"/>
          <w:szCs w:val="24"/>
        </w:rPr>
      </w:pPr>
      <w:r w:rsidRPr="006607C2">
        <w:rPr>
          <w:rFonts w:asciiTheme="majorHAnsi" w:eastAsia="Times New Roman" w:hAnsiTheme="majorHAnsi"/>
          <w:color w:val="000000"/>
          <w:sz w:val="24"/>
          <w:szCs w:val="24"/>
        </w:rPr>
        <w:t>Masood, O., &amp; Ashraf, M. (2012). Bank‐specific and macroeconomic profitability determinants of Islamic banks: The case of different countries. Qualitative Research in Financial Markets, 4(2/3), 255–268. https://doi.org/10.1108/17554171211252565</w:t>
      </w:r>
    </w:p>
    <w:p w14:paraId="2425653A" w14:textId="77777777" w:rsidR="006607C2" w:rsidRPr="006607C2" w:rsidRDefault="006607C2" w:rsidP="006607C2">
      <w:pPr>
        <w:spacing w:after="0"/>
        <w:ind w:left="1008" w:hanging="720"/>
        <w:jc w:val="both"/>
        <w:rPr>
          <w:rFonts w:asciiTheme="majorHAnsi" w:eastAsia="Times New Roman" w:hAnsiTheme="majorHAnsi"/>
          <w:color w:val="000000"/>
          <w:sz w:val="24"/>
          <w:szCs w:val="24"/>
        </w:rPr>
      </w:pPr>
      <w:r w:rsidRPr="006607C2">
        <w:rPr>
          <w:rFonts w:asciiTheme="majorHAnsi" w:eastAsia="Times New Roman" w:hAnsiTheme="majorHAnsi"/>
          <w:color w:val="000000"/>
          <w:sz w:val="24"/>
          <w:szCs w:val="24"/>
        </w:rPr>
        <w:t>Mehjabin, A. (2022). Analysis of investment risk management efficiency of Islami Bank Bangladesh Limited compared to conventional banks in Bangladesh.</w:t>
      </w:r>
    </w:p>
    <w:p w14:paraId="49A91878" w14:textId="77777777" w:rsidR="006607C2" w:rsidRPr="006607C2" w:rsidRDefault="006607C2" w:rsidP="006607C2">
      <w:pPr>
        <w:spacing w:after="0"/>
        <w:ind w:left="1008" w:hanging="720"/>
        <w:jc w:val="both"/>
        <w:rPr>
          <w:rFonts w:asciiTheme="majorHAnsi" w:eastAsia="Times New Roman" w:hAnsiTheme="majorHAnsi"/>
          <w:color w:val="000000"/>
          <w:sz w:val="24"/>
          <w:szCs w:val="24"/>
        </w:rPr>
      </w:pPr>
      <w:r w:rsidRPr="006607C2">
        <w:rPr>
          <w:rFonts w:asciiTheme="majorHAnsi" w:eastAsia="Times New Roman" w:hAnsiTheme="majorHAnsi"/>
          <w:color w:val="000000"/>
          <w:sz w:val="24"/>
          <w:szCs w:val="24"/>
        </w:rPr>
        <w:t>Moghaddas, Z., Tosarkani, B. M., &amp; Yousefi, S. (2022). Resource reallocation for improving sustainable supply chain performance: An inverse data envelopment analysis. International Journal of Production Economics, 252, 108560.</w:t>
      </w:r>
    </w:p>
    <w:p w14:paraId="771C96DF" w14:textId="77777777" w:rsidR="006607C2" w:rsidRPr="006607C2" w:rsidRDefault="006607C2" w:rsidP="006607C2">
      <w:pPr>
        <w:spacing w:after="0"/>
        <w:ind w:left="1008" w:hanging="720"/>
        <w:jc w:val="both"/>
        <w:rPr>
          <w:rFonts w:asciiTheme="majorHAnsi" w:eastAsia="Times New Roman" w:hAnsiTheme="majorHAnsi"/>
          <w:b/>
          <w:color w:val="000000"/>
          <w:sz w:val="24"/>
          <w:szCs w:val="24"/>
        </w:rPr>
      </w:pPr>
      <w:r w:rsidRPr="006607C2">
        <w:rPr>
          <w:rFonts w:asciiTheme="majorHAnsi" w:eastAsia="Times New Roman" w:hAnsiTheme="majorHAnsi"/>
          <w:color w:val="000000"/>
          <w:sz w:val="24"/>
          <w:szCs w:val="24"/>
        </w:rPr>
        <w:t>Mohammed, Mustafa Omar, and Fauziah Md Taib. (2015). Developing Islamic banking performance measures based on Maqasid al-Shari’ah framework: Cases of 24 selected banks. Journal of Islamic Monetary Economics and Finance 1.1: 55-78.</w:t>
      </w:r>
    </w:p>
    <w:p w14:paraId="1ED4DCB4" w14:textId="77777777" w:rsidR="006607C2" w:rsidRPr="006607C2" w:rsidRDefault="006607C2" w:rsidP="006607C2">
      <w:pPr>
        <w:spacing w:after="0"/>
        <w:ind w:left="1008" w:hanging="720"/>
        <w:jc w:val="both"/>
        <w:rPr>
          <w:rFonts w:asciiTheme="majorHAnsi" w:eastAsia="Times New Roman" w:hAnsiTheme="majorHAnsi"/>
          <w:color w:val="000000"/>
          <w:sz w:val="24"/>
          <w:szCs w:val="24"/>
        </w:rPr>
      </w:pPr>
      <w:r w:rsidRPr="006607C2">
        <w:rPr>
          <w:rFonts w:asciiTheme="majorHAnsi" w:eastAsia="Times New Roman" w:hAnsiTheme="majorHAnsi"/>
          <w:color w:val="000000"/>
          <w:sz w:val="24"/>
          <w:szCs w:val="24"/>
        </w:rPr>
        <w:t>Mohammed, R. H., Ibrahim, M. M., &amp; Abu-Heiba, A. (2021). Exergoeconomic and multi-objective optimization analyses of an organic Rankine cycle integrated with multi-effect desalination for electricity, cooling, heating power, and freshwater production. Energy Conversion and Management, 231, 113826.</w:t>
      </w:r>
    </w:p>
    <w:p w14:paraId="6723AA3F" w14:textId="77777777" w:rsidR="006607C2" w:rsidRPr="006607C2" w:rsidRDefault="006607C2" w:rsidP="006607C2">
      <w:pPr>
        <w:spacing w:after="0"/>
        <w:ind w:left="1008" w:hanging="720"/>
        <w:jc w:val="both"/>
        <w:rPr>
          <w:rFonts w:asciiTheme="majorHAnsi" w:eastAsia="Times New Roman" w:hAnsiTheme="majorHAnsi"/>
          <w:color w:val="000000"/>
          <w:sz w:val="24"/>
          <w:szCs w:val="24"/>
        </w:rPr>
      </w:pPr>
      <w:r w:rsidRPr="006607C2">
        <w:rPr>
          <w:rFonts w:asciiTheme="majorHAnsi" w:eastAsia="Times New Roman" w:hAnsiTheme="majorHAnsi"/>
          <w:color w:val="000000"/>
          <w:sz w:val="24"/>
          <w:szCs w:val="24"/>
        </w:rPr>
        <w:lastRenderedPageBreak/>
        <w:t>Muharram, H. (2007). Analisis perbandingan efisiensi bank syariah di Indonesia dengan metode data envelopment analysis (Periode tahun 2005). Jurnal Ekonomi dan Bisnis Islam, 2(3), 80-166.</w:t>
      </w:r>
    </w:p>
    <w:p w14:paraId="5E473051" w14:textId="77777777" w:rsidR="006607C2" w:rsidRPr="006607C2" w:rsidRDefault="006607C2" w:rsidP="006607C2">
      <w:pPr>
        <w:spacing w:after="0"/>
        <w:ind w:left="1008" w:hanging="720"/>
        <w:jc w:val="both"/>
        <w:rPr>
          <w:rFonts w:asciiTheme="majorHAnsi" w:eastAsia="Times New Roman" w:hAnsiTheme="majorHAnsi"/>
          <w:color w:val="000000"/>
          <w:sz w:val="24"/>
          <w:szCs w:val="24"/>
        </w:rPr>
      </w:pPr>
      <w:r w:rsidRPr="006607C2">
        <w:rPr>
          <w:rFonts w:asciiTheme="majorHAnsi" w:eastAsia="Times New Roman" w:hAnsiTheme="majorHAnsi"/>
          <w:color w:val="000000"/>
          <w:sz w:val="24"/>
          <w:szCs w:val="24"/>
        </w:rPr>
        <w:t>Murthi, B. P. S., Choi, Y. K., &amp; Desai, P. (1997). Efficiency of mutual funds and portfolio performance measurement: A non-parametric approach. European Journal of Operational Research, 98(2), 408-418.</w:t>
      </w:r>
    </w:p>
    <w:p w14:paraId="6C156FCF" w14:textId="77777777" w:rsidR="006607C2" w:rsidRPr="006607C2" w:rsidRDefault="006607C2" w:rsidP="006607C2">
      <w:pPr>
        <w:spacing w:after="0"/>
        <w:ind w:left="1008" w:hanging="720"/>
        <w:jc w:val="both"/>
        <w:rPr>
          <w:rFonts w:asciiTheme="majorHAnsi" w:eastAsia="Times New Roman" w:hAnsiTheme="majorHAnsi"/>
          <w:color w:val="000000"/>
          <w:sz w:val="24"/>
          <w:szCs w:val="24"/>
        </w:rPr>
      </w:pPr>
      <w:r w:rsidRPr="006607C2">
        <w:rPr>
          <w:rFonts w:asciiTheme="majorHAnsi" w:eastAsia="Times New Roman" w:hAnsiTheme="majorHAnsi"/>
          <w:color w:val="000000"/>
          <w:sz w:val="24"/>
          <w:szCs w:val="24"/>
        </w:rPr>
        <w:t>Naser, K., &amp; Moutinho, L. (1997). Strategic marketing management: the case of Islamic banks. International Journal of Bank Marketing.</w:t>
      </w:r>
    </w:p>
    <w:p w14:paraId="0D6F56FB" w14:textId="77777777" w:rsidR="006607C2" w:rsidRPr="006607C2" w:rsidRDefault="006607C2" w:rsidP="006607C2">
      <w:pPr>
        <w:spacing w:after="0"/>
        <w:ind w:left="1008" w:hanging="720"/>
        <w:jc w:val="both"/>
        <w:rPr>
          <w:rFonts w:asciiTheme="majorHAnsi" w:eastAsia="Times New Roman" w:hAnsiTheme="majorHAnsi"/>
          <w:color w:val="000000"/>
          <w:sz w:val="24"/>
          <w:szCs w:val="24"/>
        </w:rPr>
      </w:pPr>
      <w:r w:rsidRPr="006607C2">
        <w:rPr>
          <w:rFonts w:asciiTheme="majorHAnsi" w:eastAsia="Times New Roman" w:hAnsiTheme="majorHAnsi"/>
          <w:color w:val="000000"/>
          <w:sz w:val="24"/>
          <w:szCs w:val="24"/>
        </w:rPr>
        <w:t xml:space="preserve">Nodin, M. N., Mustafa, Z., &amp; Hussain, S. I. (2022). Assessing rice production efficiency for food security policy planning in Malaysia: A non-parametric bootstrap data envelopment analysis approach. Food Policy, 107, 102208.Alzoubi, H., Alshurideh, M., Kurdi, B., Akour, I., &amp; Aziz, R. (2022). Does BLE technology contribute towards improving marketing strategies, customers’ satisfaction and loyalty? The role of open innovation. International Journal of Data and Network Science, 6(2), 449-460. </w:t>
      </w:r>
    </w:p>
    <w:p w14:paraId="03689B8D" w14:textId="77777777" w:rsidR="006607C2" w:rsidRPr="006607C2" w:rsidRDefault="006607C2" w:rsidP="006607C2">
      <w:pPr>
        <w:spacing w:after="0"/>
        <w:ind w:left="1008" w:hanging="720"/>
        <w:jc w:val="both"/>
        <w:rPr>
          <w:rFonts w:asciiTheme="majorHAnsi" w:eastAsia="Times New Roman" w:hAnsiTheme="majorHAnsi"/>
          <w:color w:val="000000"/>
          <w:sz w:val="24"/>
          <w:szCs w:val="24"/>
        </w:rPr>
      </w:pPr>
      <w:r w:rsidRPr="006607C2">
        <w:rPr>
          <w:rFonts w:asciiTheme="majorHAnsi" w:eastAsia="Times New Roman" w:hAnsiTheme="majorHAnsi"/>
          <w:color w:val="000000"/>
          <w:sz w:val="24"/>
          <w:szCs w:val="24"/>
        </w:rPr>
        <w:t>Rakshit, B. (2022). Assessing the effects of cost, revenue and profit efficiency on bank performance: empirical evidence from Indian banking. International Journal of Organizational Analysis.</w:t>
      </w:r>
    </w:p>
    <w:p w14:paraId="5F2424D2" w14:textId="77777777" w:rsidR="006607C2" w:rsidRPr="006607C2" w:rsidRDefault="006607C2" w:rsidP="006607C2">
      <w:pPr>
        <w:spacing w:after="0"/>
        <w:ind w:left="1008" w:hanging="720"/>
        <w:jc w:val="both"/>
        <w:rPr>
          <w:rFonts w:asciiTheme="majorHAnsi" w:eastAsia="Times New Roman" w:hAnsiTheme="majorHAnsi"/>
          <w:color w:val="000000"/>
          <w:sz w:val="24"/>
          <w:szCs w:val="24"/>
        </w:rPr>
      </w:pPr>
      <w:r w:rsidRPr="006607C2">
        <w:rPr>
          <w:rFonts w:asciiTheme="majorHAnsi" w:eastAsia="Times New Roman" w:hAnsiTheme="majorHAnsi"/>
          <w:color w:val="000000"/>
          <w:sz w:val="24"/>
          <w:szCs w:val="24"/>
        </w:rPr>
        <w:t>Ray, S. C. (2004). Data envelopment analysis: theory and techniques for economics and operations research. Cambridge university press.</w:t>
      </w:r>
    </w:p>
    <w:p w14:paraId="08A579C3" w14:textId="77777777" w:rsidR="006607C2" w:rsidRPr="006607C2" w:rsidRDefault="006607C2" w:rsidP="006607C2">
      <w:pPr>
        <w:spacing w:after="0"/>
        <w:ind w:left="1008" w:hanging="720"/>
        <w:jc w:val="both"/>
        <w:rPr>
          <w:rFonts w:asciiTheme="majorHAnsi" w:eastAsia="Times New Roman" w:hAnsiTheme="majorHAnsi"/>
          <w:color w:val="000000"/>
          <w:sz w:val="24"/>
          <w:szCs w:val="24"/>
        </w:rPr>
      </w:pPr>
      <w:r w:rsidRPr="006607C2">
        <w:rPr>
          <w:rFonts w:asciiTheme="majorHAnsi" w:eastAsia="Times New Roman" w:hAnsiTheme="majorHAnsi"/>
          <w:color w:val="000000"/>
          <w:sz w:val="24"/>
          <w:szCs w:val="24"/>
        </w:rPr>
        <w:t>Reynolds, D. (2003). Hospitality-productivity assessment: Using data-envelopment analysis. Cornell Hotel and Restaurant Administration Quarterly, 44(2), 130-137.</w:t>
      </w:r>
    </w:p>
    <w:p w14:paraId="4F3CEFC7" w14:textId="77777777" w:rsidR="006607C2" w:rsidRPr="006607C2" w:rsidRDefault="006607C2" w:rsidP="006607C2">
      <w:pPr>
        <w:spacing w:after="0"/>
        <w:ind w:left="1008" w:hanging="720"/>
        <w:jc w:val="both"/>
        <w:rPr>
          <w:rFonts w:asciiTheme="majorHAnsi" w:eastAsia="Times New Roman" w:hAnsiTheme="majorHAnsi"/>
          <w:color w:val="000000"/>
          <w:sz w:val="24"/>
          <w:szCs w:val="24"/>
        </w:rPr>
      </w:pPr>
      <w:r w:rsidRPr="006607C2">
        <w:rPr>
          <w:rFonts w:asciiTheme="majorHAnsi" w:eastAsia="Times New Roman" w:hAnsiTheme="majorHAnsi"/>
          <w:color w:val="000000"/>
          <w:sz w:val="24"/>
          <w:szCs w:val="24"/>
        </w:rPr>
        <w:t xml:space="preserve">Roikhan, Mulyono, Lilik., Miyasto. (2020). Internal, External and Religiosity Determinant of Performance in Indonesian Navy Primary Cooperative (Primkopal). </w:t>
      </w:r>
      <w:r w:rsidRPr="006607C2">
        <w:rPr>
          <w:rFonts w:asciiTheme="majorHAnsi" w:eastAsia="Times New Roman" w:hAnsiTheme="majorHAnsi"/>
          <w:i/>
          <w:color w:val="000000"/>
          <w:sz w:val="24"/>
          <w:szCs w:val="24"/>
        </w:rPr>
        <w:t>American Research Journal of Business and Management Volume 4, Issue 1, 23 Pages.</w:t>
      </w:r>
    </w:p>
    <w:p w14:paraId="6FC77923" w14:textId="77777777" w:rsidR="006607C2" w:rsidRPr="006607C2" w:rsidRDefault="006607C2" w:rsidP="006607C2">
      <w:pPr>
        <w:spacing w:after="0"/>
        <w:ind w:left="1008" w:hanging="720"/>
        <w:jc w:val="both"/>
        <w:rPr>
          <w:rFonts w:asciiTheme="majorHAnsi" w:eastAsia="Times New Roman" w:hAnsiTheme="majorHAnsi"/>
          <w:color w:val="000000"/>
          <w:sz w:val="24"/>
          <w:szCs w:val="24"/>
        </w:rPr>
      </w:pPr>
      <w:r w:rsidRPr="006607C2">
        <w:rPr>
          <w:rFonts w:asciiTheme="majorHAnsi" w:eastAsia="Times New Roman" w:hAnsiTheme="majorHAnsi"/>
          <w:color w:val="000000"/>
          <w:sz w:val="24"/>
          <w:szCs w:val="24"/>
        </w:rPr>
        <w:t>Sari, D. P., Nabella, S. D., &amp; Fadlilah, A. H. (2022). The Effect of Profitability, Liquidity, Leverage, and Activity Ratios on Dividend Policy in Manufacturing Companies in the Food and Beverage Industry Sector Listed on the Indonesia Stock Exchange in the 2016-2020 Period. Jurnal Mantik, 6(2), 1365-1375.</w:t>
      </w:r>
    </w:p>
    <w:p w14:paraId="527F175E" w14:textId="706E8082" w:rsidR="006607C2" w:rsidRPr="006607C2" w:rsidRDefault="006607C2" w:rsidP="006607C2">
      <w:pPr>
        <w:spacing w:after="0"/>
        <w:ind w:left="1008" w:hanging="720"/>
        <w:jc w:val="both"/>
        <w:rPr>
          <w:rFonts w:asciiTheme="majorHAnsi" w:eastAsia="Times New Roman" w:hAnsiTheme="majorHAnsi"/>
          <w:color w:val="000000"/>
          <w:sz w:val="24"/>
          <w:szCs w:val="24"/>
        </w:rPr>
      </w:pPr>
      <w:r w:rsidRPr="006607C2">
        <w:rPr>
          <w:rFonts w:asciiTheme="majorHAnsi" w:eastAsia="Times New Roman" w:hAnsiTheme="majorHAnsi"/>
          <w:color w:val="000000"/>
          <w:sz w:val="24"/>
          <w:szCs w:val="24"/>
        </w:rPr>
        <w:t xml:space="preserve">Tadesse, Sable, and Work Muluye. (2020) </w:t>
      </w:r>
      <w:r w:rsidRPr="006607C2">
        <w:rPr>
          <w:rFonts w:asciiTheme="majorHAnsi" w:eastAsia="Times New Roman" w:hAnsiTheme="majorHAnsi"/>
          <w:i/>
          <w:iCs/>
          <w:color w:val="000000"/>
          <w:sz w:val="24"/>
          <w:szCs w:val="24"/>
        </w:rPr>
        <w:t>"The impact of COVID-19 pandemic on the education system in developing countries: a review."</w:t>
      </w:r>
      <w:r w:rsidRPr="006607C2">
        <w:rPr>
          <w:rFonts w:asciiTheme="majorHAnsi" w:eastAsia="Times New Roman" w:hAnsiTheme="majorHAnsi"/>
          <w:color w:val="000000"/>
          <w:sz w:val="24"/>
          <w:szCs w:val="24"/>
        </w:rPr>
        <w:t xml:space="preserve"> Open </w:t>
      </w:r>
      <w:r>
        <w:rPr>
          <w:rFonts w:asciiTheme="majorHAnsi" w:eastAsia="Times New Roman" w:hAnsiTheme="majorHAnsi"/>
          <w:color w:val="000000"/>
          <w:sz w:val="24"/>
          <w:szCs w:val="24"/>
        </w:rPr>
        <w:t>Journal of Social Sciences 8.10</w:t>
      </w:r>
      <w:r w:rsidRPr="006607C2">
        <w:rPr>
          <w:rFonts w:asciiTheme="majorHAnsi" w:eastAsia="Times New Roman" w:hAnsiTheme="majorHAnsi"/>
          <w:color w:val="000000"/>
          <w:sz w:val="24"/>
          <w:szCs w:val="24"/>
        </w:rPr>
        <w:t>: 159-170.</w:t>
      </w:r>
    </w:p>
    <w:p w14:paraId="70B06177" w14:textId="77777777" w:rsidR="006607C2" w:rsidRPr="006607C2" w:rsidRDefault="006607C2" w:rsidP="006607C2">
      <w:pPr>
        <w:spacing w:after="0"/>
        <w:ind w:left="1008" w:hanging="720"/>
        <w:jc w:val="both"/>
        <w:rPr>
          <w:rFonts w:asciiTheme="majorHAnsi" w:eastAsia="Times New Roman" w:hAnsiTheme="majorHAnsi"/>
          <w:color w:val="000000"/>
          <w:sz w:val="24"/>
          <w:szCs w:val="24"/>
        </w:rPr>
      </w:pPr>
      <w:r w:rsidRPr="006607C2">
        <w:rPr>
          <w:rFonts w:asciiTheme="majorHAnsi" w:eastAsia="Times New Roman" w:hAnsiTheme="majorHAnsi"/>
          <w:color w:val="000000"/>
          <w:sz w:val="24"/>
          <w:szCs w:val="24"/>
        </w:rPr>
        <w:t>Setyowati, D. H. (2020). Pengaruh Efisiensi Operasional Terhadap Return on Assets Pada Bank Umum Syariah di Indonesia. Jurnal Masharif al-Syariah: Jurnal Ekonomi dan Perbankan Syariah, 4(2).</w:t>
      </w:r>
    </w:p>
    <w:p w14:paraId="3997F6C9" w14:textId="77777777" w:rsidR="006607C2" w:rsidRPr="006607C2" w:rsidRDefault="006607C2" w:rsidP="006607C2">
      <w:pPr>
        <w:spacing w:after="0"/>
        <w:ind w:left="1008" w:hanging="720"/>
        <w:jc w:val="both"/>
        <w:rPr>
          <w:rFonts w:asciiTheme="majorHAnsi" w:eastAsia="Times New Roman" w:hAnsiTheme="majorHAnsi"/>
          <w:color w:val="000000"/>
          <w:sz w:val="24"/>
          <w:szCs w:val="24"/>
        </w:rPr>
      </w:pPr>
      <w:r w:rsidRPr="006607C2">
        <w:rPr>
          <w:rFonts w:asciiTheme="majorHAnsi" w:eastAsia="Times New Roman" w:hAnsiTheme="majorHAnsi"/>
          <w:color w:val="000000"/>
          <w:sz w:val="24"/>
          <w:szCs w:val="24"/>
        </w:rPr>
        <w:t xml:space="preserve">Shahid, M., Bhatti, F. A., Mohtesham, M. M. J., &amp; Mahadi, N. F. B. (2022). The Value Propositions and The Nature of The Islamic Banks Products and Services in Providing The Solution/s for The Financial Needs of Bimb Business </w:t>
      </w:r>
      <w:r w:rsidRPr="006607C2">
        <w:rPr>
          <w:rFonts w:asciiTheme="majorHAnsi" w:eastAsia="Times New Roman" w:hAnsiTheme="majorHAnsi"/>
          <w:color w:val="000000"/>
          <w:sz w:val="24"/>
          <w:szCs w:val="24"/>
        </w:rPr>
        <w:lastRenderedPageBreak/>
        <w:t>Customer Segments. El Barka: Journal of Islamic Economics and Business, 5(1), 105-134.</w:t>
      </w:r>
    </w:p>
    <w:p w14:paraId="4C2F171D" w14:textId="684F62F3" w:rsidR="006607C2" w:rsidRPr="006607C2" w:rsidRDefault="006607C2" w:rsidP="006607C2">
      <w:pPr>
        <w:spacing w:after="0"/>
        <w:ind w:left="1008" w:hanging="720"/>
        <w:jc w:val="both"/>
        <w:rPr>
          <w:rFonts w:asciiTheme="majorHAnsi" w:eastAsia="Times New Roman" w:hAnsiTheme="majorHAnsi"/>
          <w:color w:val="000000"/>
          <w:sz w:val="24"/>
          <w:szCs w:val="24"/>
        </w:rPr>
      </w:pPr>
      <w:r w:rsidRPr="006607C2">
        <w:rPr>
          <w:rFonts w:asciiTheme="majorHAnsi" w:eastAsia="Times New Roman" w:hAnsiTheme="majorHAnsi"/>
          <w:color w:val="000000"/>
          <w:sz w:val="24"/>
          <w:szCs w:val="24"/>
        </w:rPr>
        <w:t xml:space="preserve">Sukmana, Raditya, and Nur Ahlina Febriyati. (2016). </w:t>
      </w:r>
      <w:r w:rsidRPr="006607C2">
        <w:rPr>
          <w:rFonts w:asciiTheme="majorHAnsi" w:eastAsia="Times New Roman" w:hAnsiTheme="majorHAnsi"/>
          <w:i/>
          <w:iCs/>
          <w:color w:val="000000"/>
          <w:sz w:val="24"/>
          <w:szCs w:val="24"/>
        </w:rPr>
        <w:t>"Islamic banks vs conventional banks in Indonesia: An analysis on financial performances."</w:t>
      </w:r>
      <w:r w:rsidRPr="006607C2">
        <w:rPr>
          <w:rFonts w:asciiTheme="majorHAnsi" w:eastAsia="Times New Roman" w:hAnsiTheme="majorHAnsi"/>
          <w:color w:val="000000"/>
          <w:sz w:val="24"/>
          <w:szCs w:val="24"/>
        </w:rPr>
        <w:t xml:space="preserve"> Journal of Management 47.1: 81-90.</w:t>
      </w:r>
    </w:p>
    <w:p w14:paraId="3B083591" w14:textId="59FD5FC1" w:rsidR="006607C2" w:rsidRPr="006607C2" w:rsidRDefault="006607C2" w:rsidP="006607C2">
      <w:pPr>
        <w:spacing w:after="0"/>
        <w:ind w:left="1008" w:hanging="720"/>
        <w:jc w:val="both"/>
        <w:rPr>
          <w:rFonts w:asciiTheme="majorHAnsi" w:eastAsia="Times New Roman" w:hAnsiTheme="majorHAnsi"/>
          <w:color w:val="000000"/>
          <w:sz w:val="24"/>
          <w:szCs w:val="24"/>
        </w:rPr>
      </w:pPr>
      <w:r w:rsidRPr="006607C2">
        <w:rPr>
          <w:rFonts w:asciiTheme="majorHAnsi" w:eastAsia="Times New Roman" w:hAnsiTheme="majorHAnsi"/>
          <w:color w:val="000000"/>
          <w:sz w:val="24"/>
          <w:szCs w:val="24"/>
        </w:rPr>
        <w:t>Sundararajan, Venkataraman. (2007). "</w:t>
      </w:r>
      <w:r w:rsidRPr="006607C2">
        <w:rPr>
          <w:rFonts w:asciiTheme="majorHAnsi" w:eastAsia="Times New Roman" w:hAnsiTheme="majorHAnsi"/>
          <w:i/>
          <w:iCs/>
          <w:color w:val="000000"/>
          <w:sz w:val="24"/>
          <w:szCs w:val="24"/>
        </w:rPr>
        <w:t>Risk measurement and disclosure in Islamic finance and the implications of profit sharing investment accounts."</w:t>
      </w:r>
      <w:r w:rsidRPr="006607C2">
        <w:rPr>
          <w:rFonts w:asciiTheme="majorHAnsi" w:eastAsia="Times New Roman" w:hAnsiTheme="majorHAnsi"/>
          <w:color w:val="000000"/>
          <w:sz w:val="24"/>
          <w:szCs w:val="24"/>
        </w:rPr>
        <w:t xml:space="preserve"> Islamic Economics and Finance 121: 121</w:t>
      </w:r>
    </w:p>
    <w:p w14:paraId="44FBC807" w14:textId="77777777" w:rsidR="006607C2" w:rsidRPr="006607C2" w:rsidRDefault="006607C2" w:rsidP="006607C2">
      <w:pPr>
        <w:spacing w:after="0"/>
        <w:ind w:left="1008" w:hanging="720"/>
        <w:jc w:val="both"/>
        <w:rPr>
          <w:rFonts w:asciiTheme="majorHAnsi" w:eastAsia="Times New Roman" w:hAnsiTheme="majorHAnsi"/>
          <w:color w:val="000000"/>
          <w:sz w:val="24"/>
          <w:szCs w:val="24"/>
        </w:rPr>
      </w:pPr>
      <w:r w:rsidRPr="006607C2">
        <w:rPr>
          <w:rFonts w:asciiTheme="majorHAnsi" w:eastAsia="Times New Roman" w:hAnsiTheme="majorHAnsi"/>
          <w:color w:val="000000"/>
          <w:sz w:val="24"/>
          <w:szCs w:val="24"/>
        </w:rPr>
        <w:t xml:space="preserve">Susanti, </w:t>
      </w:r>
      <w:r w:rsidRPr="006607C2">
        <w:rPr>
          <w:rFonts w:asciiTheme="majorHAnsi" w:eastAsia="Times New Roman" w:hAnsiTheme="majorHAnsi"/>
          <w:i/>
          <w:iCs/>
          <w:color w:val="000000"/>
          <w:sz w:val="24"/>
          <w:szCs w:val="24"/>
        </w:rPr>
        <w:t>Neneng</w:t>
      </w:r>
      <w:r w:rsidRPr="006607C2">
        <w:rPr>
          <w:rFonts w:asciiTheme="majorHAnsi" w:eastAsia="Times New Roman" w:hAnsiTheme="majorHAnsi"/>
          <w:color w:val="000000"/>
          <w:sz w:val="24"/>
          <w:szCs w:val="24"/>
        </w:rPr>
        <w:t>, and Vincentia Wahju Widajat. (2021). "</w:t>
      </w:r>
      <w:r w:rsidRPr="006607C2">
        <w:rPr>
          <w:rFonts w:asciiTheme="majorHAnsi" w:eastAsia="Times New Roman" w:hAnsiTheme="majorHAnsi"/>
          <w:i/>
          <w:iCs/>
          <w:color w:val="000000"/>
          <w:sz w:val="24"/>
          <w:szCs w:val="24"/>
        </w:rPr>
        <w:t>MSMEs Understanding of Taxation During the COVID-19 Pandemic</w:t>
      </w:r>
      <w:r w:rsidRPr="006607C2">
        <w:rPr>
          <w:rFonts w:asciiTheme="majorHAnsi" w:eastAsia="Times New Roman" w:hAnsiTheme="majorHAnsi"/>
          <w:color w:val="000000"/>
          <w:sz w:val="24"/>
          <w:szCs w:val="24"/>
        </w:rPr>
        <w:t>." Journal of Innovation and Community Engagement 2.1: 35-46.</w:t>
      </w:r>
    </w:p>
    <w:p w14:paraId="0A3591E8" w14:textId="77777777" w:rsidR="006607C2" w:rsidRPr="006607C2" w:rsidRDefault="006607C2" w:rsidP="006607C2">
      <w:pPr>
        <w:spacing w:after="0"/>
        <w:ind w:left="1008" w:hanging="720"/>
        <w:jc w:val="both"/>
        <w:rPr>
          <w:rFonts w:asciiTheme="majorHAnsi" w:eastAsia="Times New Roman" w:hAnsiTheme="majorHAnsi"/>
          <w:color w:val="000000"/>
          <w:sz w:val="24"/>
          <w:szCs w:val="24"/>
        </w:rPr>
      </w:pPr>
      <w:r w:rsidRPr="006607C2">
        <w:rPr>
          <w:rFonts w:asciiTheme="majorHAnsi" w:eastAsia="Times New Roman" w:hAnsiTheme="majorHAnsi"/>
          <w:color w:val="000000"/>
          <w:sz w:val="24"/>
          <w:szCs w:val="24"/>
        </w:rPr>
        <w:t>Tobroni, Imam, et al. (2020). "</w:t>
      </w:r>
      <w:r w:rsidRPr="006607C2">
        <w:rPr>
          <w:rFonts w:asciiTheme="majorHAnsi" w:eastAsia="Times New Roman" w:hAnsiTheme="majorHAnsi"/>
          <w:i/>
          <w:iCs/>
          <w:color w:val="000000"/>
          <w:sz w:val="24"/>
          <w:szCs w:val="24"/>
        </w:rPr>
        <w:t>Covid 19: Political cooperation and ritual modification of religious worship through large-scale social restrictions."</w:t>
      </w:r>
      <w:r w:rsidRPr="006607C2">
        <w:rPr>
          <w:rFonts w:asciiTheme="majorHAnsi" w:eastAsia="Times New Roman" w:hAnsiTheme="majorHAnsi"/>
          <w:color w:val="000000"/>
          <w:sz w:val="24"/>
          <w:szCs w:val="24"/>
        </w:rPr>
        <w:t xml:space="preserve"> Systematic Reviews in Pharmacy (Sys Rev Pharm.) 11.12: 644-648.</w:t>
      </w:r>
    </w:p>
    <w:p w14:paraId="442B3132" w14:textId="132A54A1" w:rsidR="006607C2" w:rsidRPr="006607C2" w:rsidRDefault="006607C2" w:rsidP="006607C2">
      <w:pPr>
        <w:spacing w:after="0"/>
        <w:ind w:left="1008" w:hanging="720"/>
        <w:jc w:val="both"/>
        <w:rPr>
          <w:rFonts w:asciiTheme="majorHAnsi" w:eastAsia="Times New Roman" w:hAnsiTheme="majorHAnsi"/>
          <w:color w:val="000000"/>
          <w:sz w:val="24"/>
          <w:szCs w:val="24"/>
        </w:rPr>
      </w:pPr>
      <w:r w:rsidRPr="006607C2">
        <w:rPr>
          <w:rFonts w:asciiTheme="majorHAnsi" w:eastAsia="Times New Roman" w:hAnsiTheme="majorHAnsi"/>
          <w:color w:val="000000"/>
          <w:sz w:val="24"/>
          <w:szCs w:val="24"/>
        </w:rPr>
        <w:t>Van der Vlist. A. B., Duits, A., van de Veerdonk, M. M., Mulders, A. E., Schreurs, K. R., Tabel, Y., ... &amp; Leentjens, A. F. (2022). Cognitive Outcome After Deep Brain Stimulation for Refractory Obsessive–Compulsive Disorder: A Systematic Review. Neuromodulation: Technology at the Neural Interface, 25(2), 185-194.</w:t>
      </w:r>
    </w:p>
    <w:p w14:paraId="480B22AE" w14:textId="77777777" w:rsidR="006607C2" w:rsidRPr="006607C2" w:rsidRDefault="006607C2" w:rsidP="006607C2">
      <w:pPr>
        <w:spacing w:after="0"/>
        <w:ind w:left="1008" w:hanging="720"/>
        <w:jc w:val="both"/>
        <w:rPr>
          <w:rFonts w:asciiTheme="majorHAnsi" w:eastAsia="Times New Roman" w:hAnsiTheme="majorHAnsi"/>
          <w:color w:val="000000"/>
          <w:sz w:val="24"/>
          <w:szCs w:val="24"/>
        </w:rPr>
      </w:pPr>
      <w:r w:rsidRPr="006607C2">
        <w:rPr>
          <w:rFonts w:asciiTheme="majorHAnsi" w:eastAsia="Times New Roman" w:hAnsiTheme="majorHAnsi"/>
          <w:color w:val="000000"/>
          <w:sz w:val="24"/>
          <w:szCs w:val="24"/>
        </w:rPr>
        <w:t>Yoon, S., Chung, Y., &amp; Son, H. (2022). The relationship between cost behavior and R&amp;D efficiency: empirical evidence from Korean stock markets. Technology Analysis &amp; Strategic Management, 34(1), 85-98.</w:t>
      </w:r>
    </w:p>
    <w:p w14:paraId="297F1278" w14:textId="6E3E4D0B" w:rsidR="00EC0B90" w:rsidRPr="00AC3C08" w:rsidRDefault="006607C2" w:rsidP="006607C2">
      <w:pPr>
        <w:spacing w:after="0"/>
        <w:ind w:left="1008" w:hanging="720"/>
        <w:jc w:val="both"/>
        <w:rPr>
          <w:rFonts w:asciiTheme="majorHAnsi" w:eastAsia="Times New Roman" w:hAnsiTheme="majorHAnsi"/>
          <w:color w:val="000000"/>
          <w:sz w:val="24"/>
          <w:szCs w:val="24"/>
        </w:rPr>
      </w:pPr>
      <w:r w:rsidRPr="006607C2">
        <w:rPr>
          <w:rFonts w:asciiTheme="majorHAnsi" w:eastAsia="Times New Roman" w:hAnsiTheme="majorHAnsi"/>
          <w:color w:val="000000"/>
          <w:sz w:val="24"/>
          <w:szCs w:val="24"/>
        </w:rPr>
        <w:t>Zheng, C., Islam, M. N., Hasan, N., &amp; Halim, M. A. (2022). Does intellectual capital efficiency matter for banks’ performance and risk-taking behavior?. Cogent Economics &amp; Finance, 10(1), 2127484</w:t>
      </w:r>
    </w:p>
    <w:p w14:paraId="749026B5" w14:textId="034F6EB7" w:rsidR="00AA2092" w:rsidRPr="003F422B" w:rsidRDefault="0049677C" w:rsidP="00D942E2">
      <w:pPr>
        <w:pStyle w:val="FootnoteText"/>
        <w:tabs>
          <w:tab w:val="left" w:pos="975"/>
        </w:tabs>
        <w:spacing w:afterLines="60" w:after="144" w:line="276" w:lineRule="auto"/>
        <w:ind w:left="1008" w:right="29" w:hanging="720"/>
        <w:jc w:val="both"/>
        <w:rPr>
          <w:lang w:val="en-ID"/>
        </w:rPr>
      </w:pPr>
      <w:sdt>
        <w:sdtPr>
          <w:rPr>
            <w:rFonts w:asciiTheme="majorHAnsi" w:hAnsiTheme="majorHAnsi" w:cstheme="majorBidi"/>
            <w:sz w:val="24"/>
            <w:szCs w:val="24"/>
            <w:lang w:val="en-ID"/>
          </w:rPr>
          <w:id w:val="111145805"/>
          <w:showingPlcHdr/>
          <w:bibliography/>
        </w:sdtPr>
        <w:sdtEndPr/>
        <w:sdtContent>
          <w:r w:rsidR="00EC0B90">
            <w:rPr>
              <w:rFonts w:asciiTheme="majorHAnsi" w:hAnsiTheme="majorHAnsi" w:cstheme="majorBidi"/>
              <w:sz w:val="24"/>
              <w:szCs w:val="24"/>
              <w:lang w:val="en-ID"/>
            </w:rPr>
            <w:t xml:space="preserve">     </w:t>
          </w:r>
        </w:sdtContent>
      </w:sdt>
      <w:r w:rsidR="00724287">
        <w:rPr>
          <w:rFonts w:asciiTheme="majorHAnsi" w:hAnsiTheme="majorHAnsi" w:cstheme="majorBidi"/>
          <w:sz w:val="24"/>
          <w:szCs w:val="24"/>
          <w:lang w:val="en-ID"/>
        </w:rPr>
        <w:tab/>
      </w:r>
    </w:p>
    <w:sectPr w:rsidR="00AA2092" w:rsidRPr="003F422B" w:rsidSect="00BA2B09">
      <w:headerReference w:type="default" r:id="rId25"/>
      <w:footerReference w:type="default" r:id="rId26"/>
      <w:headerReference w:type="first" r:id="rId27"/>
      <w:footerReference w:type="first" r:id="rId28"/>
      <w:pgSz w:w="11906" w:h="16838"/>
      <w:pgMar w:top="1440" w:right="1800" w:bottom="1440" w:left="1800" w:header="709" w:footer="709" w:gutter="0"/>
      <w:pgNumType w:start="13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53E0C" w14:textId="77777777" w:rsidR="0049677C" w:rsidRDefault="0049677C" w:rsidP="00DD7F1C">
      <w:pPr>
        <w:spacing w:after="0" w:line="240" w:lineRule="auto"/>
      </w:pPr>
      <w:r>
        <w:separator/>
      </w:r>
    </w:p>
  </w:endnote>
  <w:endnote w:type="continuationSeparator" w:id="0">
    <w:p w14:paraId="67BFAB45" w14:textId="77777777" w:rsidR="0049677C" w:rsidRDefault="0049677C" w:rsidP="00DD7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l‚r –¾’©"/>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B6270" w14:textId="5A348140" w:rsidR="00F6318B" w:rsidRPr="00EC12DA" w:rsidRDefault="00F6318B" w:rsidP="006E7C9B">
    <w:pPr>
      <w:pStyle w:val="Footer"/>
    </w:pPr>
    <w:r>
      <w:t xml:space="preserve">Journal of Sharia Economics | Vol. </w:t>
    </w:r>
    <w:r>
      <w:rPr>
        <w:lang w:val="id-ID"/>
      </w:rPr>
      <w:t>4</w:t>
    </w:r>
    <w:r>
      <w:t xml:space="preserve"> No. 2 202</w:t>
    </w:r>
    <w:r>
      <w:rPr>
        <w:lang w:val="id-ID"/>
      </w:rPr>
      <w:t>3</w:t>
    </w:r>
    <w:r>
      <w:tab/>
    </w:r>
    <w:sdt>
      <w:sdtPr>
        <w:id w:val="-1489325442"/>
        <w:docPartObj>
          <w:docPartGallery w:val="Page Numbers (Bottom of Page)"/>
          <w:docPartUnique/>
        </w:docPartObj>
      </w:sdtPr>
      <w:sdtEndPr/>
      <w:sdtContent>
        <w:r>
          <w:rPr>
            <w:noProof/>
            <w:lang w:eastAsia="ja-JP"/>
          </w:rPr>
          <mc:AlternateContent>
            <mc:Choice Requires="wpg">
              <w:drawing>
                <wp:anchor distT="0" distB="0" distL="114300" distR="114300" simplePos="0" relativeHeight="251657216" behindDoc="0" locked="0" layoutInCell="1" allowOverlap="1" wp14:anchorId="34D881DC" wp14:editId="70FAB580">
                  <wp:simplePos x="0" y="0"/>
                  <wp:positionH relativeFrom="rightMargin">
                    <wp:align>center</wp:align>
                  </wp:positionH>
                  <wp:positionV relativeFrom="bottomMargin">
                    <wp:align>center</wp:align>
                  </wp:positionV>
                  <wp:extent cx="457200" cy="347980"/>
                  <wp:effectExtent l="38100" t="47625" r="38100" b="42545"/>
                  <wp:wrapNone/>
                  <wp:docPr id="63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347980"/>
                            <a:chOff x="10104" y="14464"/>
                            <a:chExt cx="720" cy="548"/>
                          </a:xfrm>
                        </wpg:grpSpPr>
                        <wps:wsp>
                          <wps:cNvPr id="633" name="Rectangle 20"/>
                          <wps:cNvSpPr>
                            <a:spLocks noChangeArrowheads="1"/>
                          </wps:cNvSpPr>
                          <wps:spPr bwMode="auto">
                            <a:xfrm rot="-5786020">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634" name="Rectangle 21"/>
                          <wps:cNvSpPr>
                            <a:spLocks noChangeArrowheads="1"/>
                          </wps:cNvSpPr>
                          <wps:spPr bwMode="auto">
                            <a:xfrm rot="-4936653">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635" name="Rectangle 22"/>
                          <wps:cNvSpPr>
                            <a:spLocks noChangeArrowheads="1"/>
                          </wps:cNvSpPr>
                          <wps:spPr bwMode="auto">
                            <a:xfrm rot="16200000">
                              <a:off x="10190" y="14378"/>
                              <a:ext cx="548" cy="720"/>
                            </a:xfrm>
                            <a:prstGeom prst="rect">
                              <a:avLst/>
                            </a:prstGeom>
                            <a:solidFill>
                              <a:srgbClr val="FFFFFF"/>
                            </a:solidFill>
                            <a:ln w="9525">
                              <a:solidFill>
                                <a:srgbClr val="737373"/>
                              </a:solidFill>
                              <a:miter lim="800000"/>
                              <a:headEnd/>
                              <a:tailEnd/>
                            </a:ln>
                          </wps:spPr>
                          <wps:txbx>
                            <w:txbxContent>
                              <w:p w14:paraId="29F9D25D" w14:textId="77777777" w:rsidR="00F6318B" w:rsidRDefault="00F6318B" w:rsidP="00EC12DA">
                                <w:pPr>
                                  <w:pStyle w:val="Footer"/>
                                  <w:jc w:val="center"/>
                                </w:pPr>
                                <w:r>
                                  <w:fldChar w:fldCharType="begin"/>
                                </w:r>
                                <w:r>
                                  <w:instrText xml:space="preserve"> PAGE    \* MERGEFORMAT </w:instrText>
                                </w:r>
                                <w:r>
                                  <w:fldChar w:fldCharType="separate"/>
                                </w:r>
                                <w:r w:rsidR="00F013F0">
                                  <w:rPr>
                                    <w:noProof/>
                                  </w:rPr>
                                  <w:t>145</w:t>
                                </w:r>
                                <w:r>
                                  <w:rPr>
                                    <w:noProof/>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D881DC" id="Group 19" o:spid="_x0000_s1026" style="position:absolute;margin-left:0;margin-top:0;width:36pt;height:27.4pt;z-index:251657216;mso-position-horizontal:center;mso-position-horizontal-relative:right-margin-area;mso-position-vertical:center;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RpX8gIAADYLAAAOAAAAZHJzL2Uyb0RvYy54bWzsVm1r2zAQ/j7YfxD63jpOnDdTp5S+Mei2&#10;sm4/QLFlW0yWPEmJ0/36nU5OmmYdGx0dDGqDkXynR3fPPT7r5HTTSLLmxgqtMhofDyjhKteFUFVG&#10;v3y+OppRYh1TBZNa8Yzec0tPF2/fnHRtyoe61rLghgCIsmnXZrR2rk2jyOY1b5g91i1XYCy1aZiD&#10;qamiwrAO0BsZDQeDSdRpU7RG59xaeHsRjHSB+GXJc/exLC13RGYUYnP4NPhc+me0OGFpZVhbi7wP&#10;gz0jioYJBZvuoC6YY2RlxE9QjciNtrp0x7luIl2WIueYA2QTDw6yuTZ61WIuVdpV7Y4moPaAp2fD&#10;5h/Wt4aIIqOT0ZASxRooEu5L4rlnp2urFJyuTXvX3pqQIgxvdP7Vgjk6tPt5FZzJsnuvC8BjK6eR&#10;nU1pGg8BeZMNFuF+VwS+cSSHl8l4CoWlJAfTKJnOZ32R8hoq6VfFQFRCCZjjJJkkoYR5fdmvh9Vh&#10;8TiZeVvE0rAthtqH5vMCwdkHTu3fcXpXs5Zjqayna8fpaMvpJ5AiU5XkBOJDXtFxS6oNjBKlz2tw&#10;42fG6K7mrIC4YkzDBwzIYYGfWKjH0xQTo0HoR+PpbDKA3fYYB+7mQA9yN5oiPyzdMu8JQ9o9hfvM&#10;sbQ11l1z3RA/yKiBZBCWrW+sC65bF7+b1VIUV0JKnJhqeS4NWTP4Bq/w6tEfuUlFuozOx8MxIj+y&#10;2X2I6cjfT0E0wkEzkaLJ6GzgL+/EUk/jpSpw7JiQYQy6kAoFHKgMkljq4h5oRQKBKOhskG6tzXdK&#10;OugSGbXfVsxwSuQ7BaWZgwTBzeEElUuJ2bcs9y1M5QCVUUdJGJ670IpWrRFVDTvFmLvSZ/DFlAKZ&#10;9aUOUfXBgmr/mXzhOwstYU++KMdHaoSCv4B8k/loMhmPXuX7Kt/f/Sh/1X3HT8h36JvCy8s3nsBf&#10;zLeg1+77593XbZabvjr/SyPGUwUczvCg0R8k/elvf46N++G4u/gBAAD//wMAUEsDBBQABgAIAAAA&#10;IQCS9ML92wAAAAMBAAAPAAAAZHJzL2Rvd25yZXYueG1sTI9BS8NAEIXvgv9hGcGb3aRaLTGbUop6&#10;KkJbofQ2TaZJaHY2ZLdJ+u8dvejlweMN732TLkbbqJ46Xzs2EE8iUMS5K2ouDXzt3h/moHxALrBx&#10;TAau5GGR3d6kmBRu4A3121AqKWGfoIEqhDbR2ucVWfQT1xJLdnKdxSC2K3XR4SDlttHTKHrWFmuW&#10;hQpbWlWUn7cXa+BjwGH5GL/16/NpdT3sZp/7dUzG3N+Ny1dQgcbwdww/+IIOmTAd3YULrxoD8kj4&#10;VclepuKOBmZPc9BZqv+zZ98AAAD//wMAUEsBAi0AFAAGAAgAAAAhALaDOJL+AAAA4QEAABMAAAAA&#10;AAAAAAAAAAAAAAAAAFtDb250ZW50X1R5cGVzXS54bWxQSwECLQAUAAYACAAAACEAOP0h/9YAAACU&#10;AQAACwAAAAAAAAAAAAAAAAAvAQAAX3JlbHMvLnJlbHNQSwECLQAUAAYACAAAACEAhYkaV/ICAAA2&#10;CwAADgAAAAAAAAAAAAAAAAAuAgAAZHJzL2Uyb0RvYy54bWxQSwECLQAUAAYACAAAACEAkvTC/dsA&#10;AAADAQAADwAAAAAAAAAAAAAAAABMBQAAZHJzL2Rvd25yZXYueG1sUEsFBgAAAAAEAAQA8wAAAFQG&#10;AAAAAA==&#10;">
                  <v:rect id="Rectangle 20" o:spid="_x0000_s1027"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W+v8MA&#10;AADcAAAADwAAAGRycy9kb3ducmV2LnhtbESPT4vCMBTE7wt+h/AEb2vqH1ypRhFFWTwsbBW8PprX&#10;tNi8lCZq/fYbQdjjMPObYZbrztbiTq2vHCsYDRMQxLnTFRsF59P+cw7CB2SNtWNS8CQP61XvY4mp&#10;dg/+pXsWjIgl7FNUUIbQpFL6vCSLfuga4ugVrrUYomyN1C0+Yrmt5ThJZtJixXGhxIa2JeXX7GYV&#10;zAzPs+6ki6nNfswx+Sp2h0uh1KDfbRYgAnXhP/ymv3XkJhN4nY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W+v8MAAADcAAAADwAAAAAAAAAAAAAAAACYAgAAZHJzL2Rv&#10;d25yZXYueG1sUEsFBgAAAAAEAAQA9QAAAIgDAAAAAA==&#10;" strokecolor="#737373"/>
                  <v:rect id="Rectangle 21" o:spid="_x0000_s1028"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6IxcUA&#10;AADcAAAADwAAAGRycy9kb3ducmV2LnhtbESP0WoCMRRE3wv+Q7iCbzWrtdpujWILLRWh4OoHXDbX&#10;zeLmZkmirn59Uyj4OMzMGWa+7GwjzuRD7VjBaJiBIC6drrlSsN99Pr6ACBFZY+OYFFwpwHLRe5hj&#10;rt2Ft3QuYiUShEOOCkyMbS5lKA1ZDEPXEifv4LzFmKSvpPZ4SXDbyHGWTaXFmtOCwZY+DJXH4mQV&#10;2O76vms3X7eZOfDP69avZ/viWalBv1u9gYjUxXv4v/2tFUyfJvB3Jh0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3ojFxQAAANwAAAAPAAAAAAAAAAAAAAAAAJgCAABkcnMv&#10;ZG93bnJldi54bWxQSwUGAAAAAAQABAD1AAAAigMAAAAA&#10;" strokecolor="#737373"/>
                  <v:rect id="Rectangle 22" o:spid="_x0000_s1029"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VUesQA&#10;AADcAAAADwAAAGRycy9kb3ducmV2LnhtbESPT4vCMBTE78J+h/AWvGla/0SpRlkEYRdP1t2Dt0fz&#10;bMs2L6WJ2v32G0HwOMzMb5j1treNuFHna8ca0nECgrhwpuZSw/dpP1qC8AHZYOOYNPyRh+3mbbDG&#10;zLg7H+mWh1JECPsMNVQhtJmUvqjIoh+7ljh6F9dZDFF2pTQd3iPcNnKSJEparDkuVNjSrqLiN79a&#10;DfJSyjQ/p97PposfpdS8vx6+tB6+9x8rEIH68Ao/259Gg5rO4XEmHgG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VVHrEAAAA3AAAAA8AAAAAAAAAAAAAAAAAmAIAAGRycy9k&#10;b3ducmV2LnhtbFBLBQYAAAAABAAEAPUAAACJAwAAAAA=&#10;" strokecolor="#737373">
                    <v:textbox>
                      <w:txbxContent>
                        <w:p w14:paraId="29F9D25D" w14:textId="77777777" w:rsidR="00F6318B" w:rsidRDefault="00F6318B" w:rsidP="00EC12DA">
                          <w:pPr>
                            <w:pStyle w:val="Footer"/>
                            <w:jc w:val="center"/>
                          </w:pPr>
                          <w:r>
                            <w:fldChar w:fldCharType="begin"/>
                          </w:r>
                          <w:r>
                            <w:instrText xml:space="preserve"> PAGE    \* MERGEFORMAT </w:instrText>
                          </w:r>
                          <w:r>
                            <w:fldChar w:fldCharType="separate"/>
                          </w:r>
                          <w:r w:rsidR="00F013F0">
                            <w:rPr>
                              <w:noProof/>
                            </w:rPr>
                            <w:t>145</w:t>
                          </w:r>
                          <w:r>
                            <w:rPr>
                              <w:noProof/>
                            </w:rPr>
                            <w:fldChar w:fldCharType="end"/>
                          </w:r>
                        </w:p>
                      </w:txbxContent>
                    </v:textbox>
                  </v:rect>
                  <w10:wrap anchorx="margin" anchory="margin"/>
                </v:group>
              </w:pict>
            </mc:Fallback>
          </mc:AlternateConten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3D1CE" w14:textId="55078462" w:rsidR="00F6318B" w:rsidRDefault="00F6318B" w:rsidP="00900977">
    <w:pPr>
      <w:pStyle w:val="Footer"/>
      <w:jc w:val="center"/>
    </w:pPr>
  </w:p>
  <w:p w14:paraId="0A7A8281" w14:textId="77777777" w:rsidR="00F6318B" w:rsidRDefault="00F631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A1F1A" w14:textId="77777777" w:rsidR="0049677C" w:rsidRDefault="0049677C" w:rsidP="00DD7F1C">
      <w:pPr>
        <w:spacing w:after="0" w:line="240" w:lineRule="auto"/>
      </w:pPr>
      <w:r>
        <w:separator/>
      </w:r>
    </w:p>
  </w:footnote>
  <w:footnote w:type="continuationSeparator" w:id="0">
    <w:p w14:paraId="30944868" w14:textId="77777777" w:rsidR="0049677C" w:rsidRDefault="0049677C" w:rsidP="00DD7F1C">
      <w:pPr>
        <w:spacing w:after="0" w:line="240" w:lineRule="auto"/>
      </w:pPr>
      <w:r>
        <w:continuationSeparator/>
      </w:r>
    </w:p>
  </w:footnote>
  <w:footnote w:id="1">
    <w:p w14:paraId="0A45FD6C" w14:textId="3C0AB187" w:rsidR="001200F2" w:rsidRPr="006459C4" w:rsidRDefault="001200F2" w:rsidP="0077659A">
      <w:pPr>
        <w:pStyle w:val="FootnoteText"/>
        <w:ind w:firstLine="720"/>
        <w:jc w:val="both"/>
        <w:rPr>
          <w:rFonts w:asciiTheme="majorBidi" w:hAnsiTheme="majorBidi" w:cstheme="majorBidi"/>
          <w:sz w:val="18"/>
          <w:szCs w:val="18"/>
        </w:rPr>
      </w:pPr>
      <w:r w:rsidRPr="006459C4">
        <w:rPr>
          <w:rStyle w:val="FootnoteReference"/>
          <w:rFonts w:asciiTheme="majorBidi" w:hAnsiTheme="majorBidi" w:cstheme="majorBidi"/>
        </w:rPr>
        <w:footnoteRef/>
      </w:r>
      <w:r w:rsidRPr="006459C4">
        <w:rPr>
          <w:rFonts w:asciiTheme="majorBidi" w:hAnsiTheme="majorBidi" w:cstheme="majorBidi"/>
        </w:rPr>
        <w:t xml:space="preserve"> </w:t>
      </w:r>
      <w:r w:rsidRPr="006459C4">
        <w:rPr>
          <w:rFonts w:asciiTheme="majorBidi" w:eastAsia="Times New Roman" w:hAnsiTheme="majorBidi" w:cstheme="majorBidi"/>
          <w:color w:val="000000"/>
          <w:sz w:val="18"/>
          <w:szCs w:val="18"/>
        </w:rPr>
        <w:t xml:space="preserve">Masood, O., &amp; Ashraf, M. (2012). </w:t>
      </w:r>
      <w:r w:rsidRPr="006459C4">
        <w:rPr>
          <w:rFonts w:asciiTheme="majorBidi" w:eastAsia="Times New Roman" w:hAnsiTheme="majorBidi" w:cstheme="majorBidi"/>
          <w:i/>
          <w:iCs/>
          <w:color w:val="000000"/>
          <w:sz w:val="18"/>
          <w:szCs w:val="18"/>
        </w:rPr>
        <w:t>Bank</w:t>
      </w:r>
      <w:r w:rsidRPr="006459C4">
        <w:rPr>
          <w:rFonts w:ascii="Cambria Math" w:eastAsia="Times New Roman" w:hAnsi="Cambria Math" w:cs="Cambria Math"/>
          <w:i/>
          <w:iCs/>
          <w:color w:val="000000"/>
          <w:sz w:val="18"/>
          <w:szCs w:val="18"/>
        </w:rPr>
        <w:t>‐</w:t>
      </w:r>
      <w:r w:rsidRPr="006459C4">
        <w:rPr>
          <w:rFonts w:asciiTheme="majorBidi" w:eastAsia="Times New Roman" w:hAnsiTheme="majorBidi" w:cstheme="majorBidi"/>
          <w:i/>
          <w:iCs/>
          <w:color w:val="000000"/>
          <w:sz w:val="18"/>
          <w:szCs w:val="18"/>
        </w:rPr>
        <w:t>specific and macroeconomic profitability determinants of Islamic banks: The case of different countries. Qualitative Research in Financial Markets</w:t>
      </w:r>
      <w:r w:rsidRPr="006459C4">
        <w:rPr>
          <w:rFonts w:asciiTheme="majorBidi" w:eastAsia="Times New Roman" w:hAnsiTheme="majorBidi" w:cstheme="majorBidi"/>
          <w:color w:val="000000"/>
          <w:sz w:val="18"/>
          <w:szCs w:val="18"/>
        </w:rPr>
        <w:t>, 4(2/3), 255–268. https://doi.org/10.1108/17554171211252565</w:t>
      </w:r>
    </w:p>
  </w:footnote>
  <w:footnote w:id="2">
    <w:p w14:paraId="6F9F7329" w14:textId="23A7953D" w:rsidR="001200F2" w:rsidRPr="006459C4" w:rsidRDefault="001200F2" w:rsidP="0077659A">
      <w:pPr>
        <w:pStyle w:val="FootnoteText"/>
        <w:ind w:firstLine="720"/>
        <w:jc w:val="both"/>
        <w:rPr>
          <w:rFonts w:asciiTheme="majorBidi" w:hAnsiTheme="majorBidi" w:cstheme="majorBidi"/>
        </w:rPr>
      </w:pPr>
      <w:r w:rsidRPr="006459C4">
        <w:rPr>
          <w:rStyle w:val="FootnoteReference"/>
          <w:rFonts w:asciiTheme="majorBidi" w:hAnsiTheme="majorBidi" w:cstheme="majorBidi"/>
        </w:rPr>
        <w:footnoteRef/>
      </w:r>
      <w:r w:rsidRPr="006459C4">
        <w:rPr>
          <w:rFonts w:asciiTheme="majorBidi" w:hAnsiTheme="majorBidi" w:cstheme="majorBidi"/>
        </w:rPr>
        <w:t xml:space="preserve"> </w:t>
      </w:r>
      <w:r w:rsidRPr="006459C4">
        <w:rPr>
          <w:rFonts w:asciiTheme="majorBidi" w:eastAsia="Times New Roman" w:hAnsiTheme="majorBidi" w:cstheme="majorBidi"/>
          <w:color w:val="000000"/>
          <w:sz w:val="18"/>
          <w:szCs w:val="18"/>
        </w:rPr>
        <w:t xml:space="preserve">Van der Vlist. A. B., Duits, A., van de Veerdonk, M. M., Mulders, A. E., Schreurs, K. R., Tabel, Y., ... &amp; Leentjens, A. F. (2022). </w:t>
      </w:r>
      <w:r w:rsidRPr="006459C4">
        <w:rPr>
          <w:rFonts w:asciiTheme="majorBidi" w:eastAsia="Times New Roman" w:hAnsiTheme="majorBidi" w:cstheme="majorBidi"/>
          <w:i/>
          <w:iCs/>
          <w:color w:val="000000"/>
          <w:sz w:val="18"/>
          <w:szCs w:val="18"/>
        </w:rPr>
        <w:t>Cognitive Outcome After Deep Brain Stimulation for Refractory Obsessive–Compulsive Disorder: A Systematic Review</w:t>
      </w:r>
      <w:r w:rsidRPr="006459C4">
        <w:rPr>
          <w:rFonts w:asciiTheme="majorBidi" w:eastAsia="Times New Roman" w:hAnsiTheme="majorBidi" w:cstheme="majorBidi"/>
          <w:color w:val="000000"/>
          <w:sz w:val="18"/>
          <w:szCs w:val="18"/>
        </w:rPr>
        <w:t>. Neuromodulation: Technology at the Neural Interface, 25(2), 185-194</w:t>
      </w:r>
    </w:p>
  </w:footnote>
  <w:footnote w:id="3">
    <w:p w14:paraId="1A8B8B5A" w14:textId="40695CE0" w:rsidR="003E19F6" w:rsidRPr="006459C4" w:rsidRDefault="003E19F6" w:rsidP="0077659A">
      <w:pPr>
        <w:pStyle w:val="FootnoteText"/>
        <w:ind w:firstLine="720"/>
        <w:jc w:val="both"/>
        <w:rPr>
          <w:rFonts w:asciiTheme="majorBidi" w:hAnsiTheme="majorBidi" w:cstheme="majorBidi"/>
        </w:rPr>
      </w:pPr>
      <w:r w:rsidRPr="006459C4">
        <w:rPr>
          <w:rStyle w:val="FootnoteReference"/>
          <w:rFonts w:asciiTheme="majorBidi" w:hAnsiTheme="majorBidi" w:cstheme="majorBidi"/>
        </w:rPr>
        <w:footnoteRef/>
      </w:r>
      <w:r w:rsidRPr="006459C4">
        <w:rPr>
          <w:rFonts w:asciiTheme="majorBidi" w:hAnsiTheme="majorBidi" w:cstheme="majorBidi"/>
        </w:rPr>
        <w:t xml:space="preserve"> Sadono, Sukirno. 2008. </w:t>
      </w:r>
      <w:r w:rsidRPr="006459C4">
        <w:rPr>
          <w:rFonts w:asciiTheme="majorBidi" w:hAnsiTheme="majorBidi" w:cstheme="majorBidi"/>
          <w:i/>
          <w:iCs/>
        </w:rPr>
        <w:t>Mikroekonomi: Teori Pengantar. Edisi Ketiga</w:t>
      </w:r>
      <w:r w:rsidRPr="006459C4">
        <w:rPr>
          <w:rFonts w:asciiTheme="majorBidi" w:hAnsiTheme="majorBidi" w:cstheme="majorBidi"/>
        </w:rPr>
        <w:t>. Jakarta: PT Raja Grafindo Persada</w:t>
      </w:r>
    </w:p>
  </w:footnote>
  <w:footnote w:id="4">
    <w:p w14:paraId="2443636C" w14:textId="100EEC60" w:rsidR="00120204" w:rsidRPr="006459C4" w:rsidRDefault="00120204" w:rsidP="0077659A">
      <w:pPr>
        <w:pStyle w:val="NoSpacing"/>
        <w:ind w:firstLine="720"/>
        <w:jc w:val="both"/>
        <w:rPr>
          <w:rFonts w:asciiTheme="majorBidi" w:hAnsiTheme="majorBidi" w:cstheme="majorBidi"/>
          <w:sz w:val="18"/>
          <w:szCs w:val="18"/>
        </w:rPr>
      </w:pPr>
      <w:r w:rsidRPr="006459C4">
        <w:rPr>
          <w:rStyle w:val="FootnoteReference"/>
          <w:rFonts w:asciiTheme="majorBidi" w:hAnsiTheme="majorBidi" w:cstheme="majorBidi"/>
        </w:rPr>
        <w:footnoteRef/>
      </w:r>
      <w:r w:rsidRPr="006459C4">
        <w:rPr>
          <w:rFonts w:asciiTheme="majorBidi" w:hAnsiTheme="majorBidi" w:cstheme="majorBidi"/>
        </w:rPr>
        <w:t xml:space="preserve"> </w:t>
      </w:r>
      <w:r w:rsidRPr="006459C4">
        <w:rPr>
          <w:rFonts w:asciiTheme="majorBidi" w:hAnsiTheme="majorBidi" w:cstheme="majorBidi"/>
          <w:sz w:val="18"/>
          <w:szCs w:val="18"/>
        </w:rPr>
        <w:t xml:space="preserve">Alzoubi, H., Alshurideh, M., Kurdi, B., Akour, I., &amp; Aziz, R. (2022). </w:t>
      </w:r>
      <w:r w:rsidRPr="006459C4">
        <w:rPr>
          <w:rFonts w:asciiTheme="majorBidi" w:hAnsiTheme="majorBidi" w:cstheme="majorBidi"/>
          <w:i/>
          <w:iCs/>
          <w:sz w:val="18"/>
          <w:szCs w:val="18"/>
        </w:rPr>
        <w:t>Does BLE technology contribute towards improving marketing strategies, customers’ satisfaction and loyalty? The role of open innovation</w:t>
      </w:r>
      <w:r w:rsidRPr="006459C4">
        <w:rPr>
          <w:rFonts w:asciiTheme="majorBidi" w:hAnsiTheme="majorBidi" w:cstheme="majorBidi"/>
          <w:sz w:val="18"/>
          <w:szCs w:val="18"/>
        </w:rPr>
        <w:t>. International Journal of Data and Network Science, 6(2), 449-460.</w:t>
      </w:r>
    </w:p>
  </w:footnote>
  <w:footnote w:id="5">
    <w:p w14:paraId="07A6A9FC" w14:textId="24A303BE" w:rsidR="00BD340D" w:rsidRPr="006459C4" w:rsidRDefault="00BD340D" w:rsidP="0077659A">
      <w:pPr>
        <w:pStyle w:val="FootnoteText"/>
        <w:ind w:firstLine="720"/>
        <w:jc w:val="both"/>
        <w:rPr>
          <w:rFonts w:asciiTheme="majorBidi" w:hAnsiTheme="majorBidi" w:cstheme="majorBidi"/>
        </w:rPr>
      </w:pPr>
      <w:r w:rsidRPr="006459C4">
        <w:rPr>
          <w:rStyle w:val="FootnoteReference"/>
          <w:rFonts w:asciiTheme="majorBidi" w:hAnsiTheme="majorBidi" w:cstheme="majorBidi"/>
        </w:rPr>
        <w:footnoteRef/>
      </w:r>
      <w:r w:rsidRPr="006459C4">
        <w:rPr>
          <w:rFonts w:asciiTheme="majorBidi" w:hAnsiTheme="majorBidi" w:cstheme="majorBidi"/>
        </w:rPr>
        <w:t xml:space="preserve"> Sadono, Sukirno. 2008. </w:t>
      </w:r>
      <w:r w:rsidRPr="006459C4">
        <w:rPr>
          <w:rFonts w:asciiTheme="majorBidi" w:hAnsiTheme="majorBidi" w:cstheme="majorBidi"/>
          <w:i/>
          <w:iCs/>
        </w:rPr>
        <w:t>Mikroekonomi: Teori Pengantar. Edisi Ketiga</w:t>
      </w:r>
      <w:r w:rsidRPr="006459C4">
        <w:rPr>
          <w:rFonts w:asciiTheme="majorBidi" w:hAnsiTheme="majorBidi" w:cstheme="majorBidi"/>
        </w:rPr>
        <w:t>. Jakarta: PT Raja Grafindo Persada</w:t>
      </w:r>
    </w:p>
  </w:footnote>
  <w:footnote w:id="6">
    <w:p w14:paraId="22E435FF" w14:textId="109BF89E" w:rsidR="00D07314" w:rsidRPr="006459C4" w:rsidRDefault="00D07314" w:rsidP="0077659A">
      <w:pPr>
        <w:pStyle w:val="NoSpacing"/>
        <w:ind w:firstLine="720"/>
        <w:jc w:val="both"/>
        <w:rPr>
          <w:rFonts w:asciiTheme="majorBidi" w:hAnsiTheme="majorBidi" w:cstheme="majorBidi"/>
          <w:sz w:val="18"/>
          <w:szCs w:val="18"/>
        </w:rPr>
      </w:pPr>
      <w:r w:rsidRPr="006459C4">
        <w:rPr>
          <w:rStyle w:val="FootnoteReference"/>
          <w:rFonts w:asciiTheme="majorBidi" w:hAnsiTheme="majorBidi" w:cstheme="majorBidi"/>
        </w:rPr>
        <w:footnoteRef/>
      </w:r>
      <w:r w:rsidRPr="006459C4">
        <w:rPr>
          <w:rFonts w:asciiTheme="majorBidi" w:hAnsiTheme="majorBidi" w:cstheme="majorBidi"/>
        </w:rPr>
        <w:t xml:space="preserve"> </w:t>
      </w:r>
      <w:r w:rsidRPr="006459C4">
        <w:rPr>
          <w:rFonts w:asciiTheme="majorBidi" w:hAnsiTheme="majorBidi" w:cstheme="majorBidi"/>
          <w:sz w:val="18"/>
          <w:szCs w:val="18"/>
        </w:rPr>
        <w:t xml:space="preserve">MA, Roikhan., Muttaqien, Zainal., NA, Dita., Ari. (2021). Strengthening Awareness Of Paying Zakat. </w:t>
      </w:r>
      <w:r w:rsidRPr="006459C4">
        <w:rPr>
          <w:rFonts w:asciiTheme="majorBidi" w:hAnsiTheme="majorBidi" w:cstheme="majorBidi"/>
          <w:i/>
          <w:sz w:val="18"/>
          <w:szCs w:val="18"/>
        </w:rPr>
        <w:t xml:space="preserve">Jurnal Ilmiah MEA (Manajemen, Ekonomi, dan Akuntansi) (JIMEA). </w:t>
      </w:r>
      <w:r w:rsidRPr="006459C4">
        <w:rPr>
          <w:rFonts w:asciiTheme="majorBidi" w:hAnsiTheme="majorBidi" w:cstheme="majorBidi"/>
          <w:sz w:val="18"/>
          <w:szCs w:val="18"/>
        </w:rPr>
        <w:t xml:space="preserve">Vol. 5 No. 1. STIEM Bandung. </w:t>
      </w:r>
      <w:hyperlink r:id="rId1" w:history="1">
        <w:r w:rsidRPr="006459C4">
          <w:rPr>
            <w:rStyle w:val="Hyperlink"/>
            <w:rFonts w:asciiTheme="majorBidi" w:eastAsia="Times New Roman" w:hAnsiTheme="majorBidi" w:cstheme="majorBidi"/>
            <w:color w:val="000000" w:themeColor="text1"/>
            <w:sz w:val="18"/>
            <w:szCs w:val="18"/>
            <w:u w:val="none"/>
          </w:rPr>
          <w:t>http://journal.stiemb.ac.id/index.php/mea/article/view/1858</w:t>
        </w:r>
      </w:hyperlink>
      <w:r w:rsidRPr="006459C4">
        <w:rPr>
          <w:rFonts w:asciiTheme="majorBidi" w:hAnsiTheme="majorBidi" w:cstheme="majorBidi"/>
          <w:color w:val="000000" w:themeColor="text1"/>
          <w:sz w:val="18"/>
          <w:szCs w:val="18"/>
        </w:rPr>
        <w:t>.</w:t>
      </w:r>
    </w:p>
  </w:footnote>
  <w:footnote w:id="7">
    <w:p w14:paraId="1D756616" w14:textId="7943A445" w:rsidR="009B74C3" w:rsidRPr="006459C4" w:rsidRDefault="009B74C3" w:rsidP="0077659A">
      <w:pPr>
        <w:pStyle w:val="NoSpacing"/>
        <w:ind w:firstLine="720"/>
        <w:jc w:val="both"/>
        <w:rPr>
          <w:rFonts w:asciiTheme="majorBidi" w:hAnsiTheme="majorBidi" w:cstheme="majorBidi"/>
          <w:sz w:val="18"/>
          <w:szCs w:val="18"/>
        </w:rPr>
      </w:pPr>
      <w:r w:rsidRPr="006459C4">
        <w:rPr>
          <w:rStyle w:val="FootnoteReference"/>
          <w:rFonts w:asciiTheme="majorBidi" w:hAnsiTheme="majorBidi" w:cstheme="majorBidi"/>
        </w:rPr>
        <w:footnoteRef/>
      </w:r>
      <w:r w:rsidRPr="006459C4">
        <w:rPr>
          <w:rFonts w:asciiTheme="majorBidi" w:hAnsiTheme="majorBidi" w:cstheme="majorBidi"/>
        </w:rPr>
        <w:t xml:space="preserve"> </w:t>
      </w:r>
      <w:r w:rsidRPr="006459C4">
        <w:rPr>
          <w:rFonts w:asciiTheme="majorBidi" w:hAnsiTheme="majorBidi" w:cstheme="majorBidi"/>
          <w:sz w:val="18"/>
          <w:szCs w:val="18"/>
        </w:rPr>
        <w:t xml:space="preserve">Aziz, Mochamad Roikhan. 2020. </w:t>
      </w:r>
      <w:r w:rsidRPr="006459C4">
        <w:rPr>
          <w:rFonts w:asciiTheme="majorBidi" w:hAnsiTheme="majorBidi" w:cstheme="majorBidi"/>
          <w:i/>
          <w:iCs/>
          <w:sz w:val="18"/>
          <w:szCs w:val="18"/>
        </w:rPr>
        <w:t>Ekonomi Islam Metode Hahslm</w:t>
      </w:r>
      <w:r w:rsidRPr="006459C4">
        <w:rPr>
          <w:rFonts w:asciiTheme="majorBidi" w:hAnsiTheme="majorBidi" w:cstheme="majorBidi"/>
          <w:sz w:val="18"/>
          <w:szCs w:val="18"/>
        </w:rPr>
        <w:t>. Sumatera Barat: Balai Insan Cendekia Mandiri</w:t>
      </w:r>
    </w:p>
  </w:footnote>
  <w:footnote w:id="8">
    <w:p w14:paraId="605CE441" w14:textId="27652E14" w:rsidR="001265A8" w:rsidRPr="006459C4" w:rsidRDefault="001265A8" w:rsidP="0077659A">
      <w:pPr>
        <w:pStyle w:val="NoSpacing"/>
        <w:ind w:firstLine="720"/>
        <w:jc w:val="both"/>
        <w:rPr>
          <w:rFonts w:asciiTheme="majorBidi" w:hAnsiTheme="majorBidi" w:cstheme="majorBidi"/>
          <w:sz w:val="18"/>
          <w:szCs w:val="18"/>
        </w:rPr>
      </w:pPr>
      <w:r w:rsidRPr="006459C4">
        <w:rPr>
          <w:rStyle w:val="FootnoteReference"/>
          <w:rFonts w:asciiTheme="majorBidi" w:hAnsiTheme="majorBidi" w:cstheme="majorBidi"/>
        </w:rPr>
        <w:footnoteRef/>
      </w:r>
      <w:r w:rsidRPr="006459C4">
        <w:rPr>
          <w:rFonts w:asciiTheme="majorBidi" w:hAnsiTheme="majorBidi" w:cstheme="majorBidi"/>
        </w:rPr>
        <w:t xml:space="preserve"> </w:t>
      </w:r>
      <w:r w:rsidRPr="006459C4">
        <w:rPr>
          <w:rFonts w:asciiTheme="majorBidi" w:hAnsiTheme="majorBidi" w:cstheme="majorBidi"/>
          <w:sz w:val="18"/>
          <w:szCs w:val="18"/>
        </w:rPr>
        <w:t xml:space="preserve">Aziz, Mochamad Roikhan. 2020. </w:t>
      </w:r>
      <w:r w:rsidRPr="006459C4">
        <w:rPr>
          <w:rFonts w:asciiTheme="majorBidi" w:hAnsiTheme="majorBidi" w:cstheme="majorBidi"/>
          <w:i/>
          <w:iCs/>
          <w:sz w:val="18"/>
          <w:szCs w:val="18"/>
        </w:rPr>
        <w:t>Ekonomi Islam Metode Hahslm</w:t>
      </w:r>
      <w:r w:rsidRPr="006459C4">
        <w:rPr>
          <w:rFonts w:asciiTheme="majorBidi" w:hAnsiTheme="majorBidi" w:cstheme="majorBidi"/>
          <w:sz w:val="18"/>
          <w:szCs w:val="18"/>
        </w:rPr>
        <w:t>. Sumatera Barat: Balai Insan Cendekia Mandiri.</w:t>
      </w:r>
    </w:p>
  </w:footnote>
  <w:footnote w:id="9">
    <w:p w14:paraId="4A4BE8F0" w14:textId="634D38D9" w:rsidR="001265A8" w:rsidRPr="006459C4" w:rsidRDefault="001265A8" w:rsidP="0077659A">
      <w:pPr>
        <w:pStyle w:val="FootnoteText"/>
        <w:ind w:firstLine="720"/>
        <w:jc w:val="both"/>
        <w:rPr>
          <w:rFonts w:asciiTheme="majorBidi" w:hAnsiTheme="majorBidi" w:cstheme="majorBidi"/>
          <w:sz w:val="18"/>
          <w:szCs w:val="18"/>
        </w:rPr>
      </w:pPr>
      <w:r w:rsidRPr="006459C4">
        <w:rPr>
          <w:rStyle w:val="FootnoteReference"/>
          <w:rFonts w:asciiTheme="majorBidi" w:hAnsiTheme="majorBidi" w:cstheme="majorBidi"/>
        </w:rPr>
        <w:footnoteRef/>
      </w:r>
      <w:r w:rsidRPr="006459C4">
        <w:rPr>
          <w:rFonts w:asciiTheme="majorBidi" w:hAnsiTheme="majorBidi" w:cstheme="majorBidi"/>
        </w:rPr>
        <w:t xml:space="preserve"> </w:t>
      </w:r>
      <w:r w:rsidRPr="006459C4">
        <w:rPr>
          <w:rFonts w:asciiTheme="majorBidi" w:hAnsiTheme="majorBidi" w:cstheme="majorBidi"/>
          <w:sz w:val="18"/>
          <w:szCs w:val="18"/>
        </w:rPr>
        <w:t xml:space="preserve">Zheng, C., Islam, M. N., Hasan, N., &amp; Halim, M. A. (2022). </w:t>
      </w:r>
      <w:r w:rsidRPr="006459C4">
        <w:rPr>
          <w:rFonts w:asciiTheme="majorBidi" w:hAnsiTheme="majorBidi" w:cstheme="majorBidi"/>
          <w:i/>
          <w:iCs/>
          <w:sz w:val="18"/>
          <w:szCs w:val="18"/>
        </w:rPr>
        <w:t>Does intellectual capital efficiency matter for banks’ performance and risk-taking behavior?</w:t>
      </w:r>
      <w:r w:rsidRPr="006459C4">
        <w:rPr>
          <w:rFonts w:asciiTheme="majorBidi" w:hAnsiTheme="majorBidi" w:cstheme="majorBidi"/>
          <w:sz w:val="18"/>
          <w:szCs w:val="18"/>
        </w:rPr>
        <w:t>. Cogent Economics &amp; Finance, 10(1), 2127484</w:t>
      </w:r>
      <w:r w:rsidR="00D10C2D" w:rsidRPr="006459C4">
        <w:rPr>
          <w:rFonts w:asciiTheme="majorBidi" w:hAnsiTheme="majorBidi" w:cstheme="majorBidi"/>
          <w:sz w:val="18"/>
          <w:szCs w:val="18"/>
        </w:rPr>
        <w:t>.</w:t>
      </w:r>
    </w:p>
  </w:footnote>
  <w:footnote w:id="10">
    <w:p w14:paraId="5FF0AA58" w14:textId="71B18389" w:rsidR="00601C63" w:rsidRPr="006459C4" w:rsidRDefault="00601C63" w:rsidP="0077659A">
      <w:pPr>
        <w:pStyle w:val="FootnoteText"/>
        <w:ind w:firstLine="720"/>
        <w:jc w:val="both"/>
        <w:rPr>
          <w:rFonts w:asciiTheme="majorBidi" w:hAnsiTheme="majorBidi" w:cstheme="majorBidi"/>
          <w:sz w:val="18"/>
          <w:szCs w:val="18"/>
        </w:rPr>
      </w:pPr>
      <w:r w:rsidRPr="006459C4">
        <w:rPr>
          <w:rStyle w:val="FootnoteReference"/>
          <w:rFonts w:asciiTheme="majorBidi" w:hAnsiTheme="majorBidi" w:cstheme="majorBidi"/>
        </w:rPr>
        <w:footnoteRef/>
      </w:r>
      <w:r w:rsidRPr="006459C4">
        <w:rPr>
          <w:rFonts w:asciiTheme="majorBidi" w:hAnsiTheme="majorBidi" w:cstheme="majorBidi"/>
        </w:rPr>
        <w:t xml:space="preserve"> </w:t>
      </w:r>
      <w:r w:rsidRPr="006459C4">
        <w:rPr>
          <w:rFonts w:asciiTheme="majorBidi" w:hAnsiTheme="majorBidi" w:cstheme="majorBidi"/>
          <w:sz w:val="18"/>
          <w:szCs w:val="18"/>
        </w:rPr>
        <w:t xml:space="preserve">Yoon, S., Chung, Y., &amp; Son, H. (2022). </w:t>
      </w:r>
      <w:r w:rsidRPr="006459C4">
        <w:rPr>
          <w:rFonts w:asciiTheme="majorBidi" w:hAnsiTheme="majorBidi" w:cstheme="majorBidi"/>
          <w:i/>
          <w:iCs/>
          <w:sz w:val="18"/>
          <w:szCs w:val="18"/>
        </w:rPr>
        <w:t>The relationship between cost behavior and R&amp;D efficiency: empirical evidence from Korean stock markets</w:t>
      </w:r>
      <w:r w:rsidRPr="006459C4">
        <w:rPr>
          <w:rFonts w:asciiTheme="majorBidi" w:hAnsiTheme="majorBidi" w:cstheme="majorBidi"/>
          <w:sz w:val="18"/>
          <w:szCs w:val="18"/>
        </w:rPr>
        <w:t>. Technology Analysis &amp; Strategic Management, 34(1), 85-98</w:t>
      </w:r>
      <w:r w:rsidR="00D10C2D" w:rsidRPr="006459C4">
        <w:rPr>
          <w:rFonts w:asciiTheme="majorBidi" w:hAnsiTheme="majorBidi" w:cstheme="majorBidi"/>
          <w:sz w:val="18"/>
          <w:szCs w:val="18"/>
        </w:rPr>
        <w:t>.</w:t>
      </w:r>
    </w:p>
  </w:footnote>
  <w:footnote w:id="11">
    <w:p w14:paraId="2AC5C9CA" w14:textId="3466C138" w:rsidR="00EB4B76" w:rsidRPr="006459C4" w:rsidRDefault="00EB4B76" w:rsidP="0077659A">
      <w:pPr>
        <w:pStyle w:val="FootnoteText"/>
        <w:ind w:firstLine="720"/>
        <w:jc w:val="both"/>
        <w:rPr>
          <w:rFonts w:asciiTheme="majorBidi" w:hAnsiTheme="majorBidi" w:cstheme="majorBidi"/>
          <w:sz w:val="18"/>
          <w:szCs w:val="18"/>
        </w:rPr>
      </w:pPr>
      <w:r w:rsidRPr="006459C4">
        <w:rPr>
          <w:rStyle w:val="FootnoteReference"/>
          <w:rFonts w:asciiTheme="majorBidi" w:hAnsiTheme="majorBidi" w:cstheme="majorBidi"/>
        </w:rPr>
        <w:footnoteRef/>
      </w:r>
      <w:r w:rsidRPr="006459C4">
        <w:rPr>
          <w:rFonts w:asciiTheme="majorBidi" w:hAnsiTheme="majorBidi" w:cstheme="majorBidi"/>
        </w:rPr>
        <w:t xml:space="preserve"> </w:t>
      </w:r>
      <w:r w:rsidRPr="006459C4">
        <w:rPr>
          <w:rFonts w:asciiTheme="majorBidi" w:hAnsiTheme="majorBidi" w:cstheme="majorBidi"/>
          <w:sz w:val="18"/>
          <w:szCs w:val="18"/>
        </w:rPr>
        <w:t xml:space="preserve">Rakshit, B. (2022). </w:t>
      </w:r>
      <w:r w:rsidRPr="006459C4">
        <w:rPr>
          <w:rFonts w:asciiTheme="majorBidi" w:hAnsiTheme="majorBidi" w:cstheme="majorBidi"/>
          <w:i/>
          <w:iCs/>
          <w:sz w:val="18"/>
          <w:szCs w:val="18"/>
        </w:rPr>
        <w:t>Assessing the effects of cost, revenue and profit efficiency on bank performance: empirical evidence from Indian banking</w:t>
      </w:r>
      <w:r w:rsidRPr="006459C4">
        <w:rPr>
          <w:rFonts w:asciiTheme="majorBidi" w:hAnsiTheme="majorBidi" w:cstheme="majorBidi"/>
          <w:sz w:val="18"/>
          <w:szCs w:val="18"/>
        </w:rPr>
        <w:t>. International Journal of Organizational Analysis.</w:t>
      </w:r>
    </w:p>
  </w:footnote>
  <w:footnote w:id="12">
    <w:p w14:paraId="60F746A1" w14:textId="421012FC" w:rsidR="00675437" w:rsidRPr="006459C4" w:rsidRDefault="00675437" w:rsidP="0077659A">
      <w:pPr>
        <w:pStyle w:val="FootnoteText"/>
        <w:ind w:firstLine="720"/>
        <w:jc w:val="both"/>
        <w:rPr>
          <w:rFonts w:asciiTheme="majorBidi" w:hAnsiTheme="majorBidi" w:cstheme="majorBidi"/>
          <w:sz w:val="18"/>
          <w:szCs w:val="18"/>
        </w:rPr>
      </w:pPr>
      <w:r w:rsidRPr="006459C4">
        <w:rPr>
          <w:rStyle w:val="FootnoteReference"/>
          <w:rFonts w:asciiTheme="majorBidi" w:hAnsiTheme="majorBidi" w:cstheme="majorBidi"/>
        </w:rPr>
        <w:footnoteRef/>
      </w:r>
      <w:r w:rsidRPr="006459C4">
        <w:rPr>
          <w:rFonts w:asciiTheme="majorBidi" w:hAnsiTheme="majorBidi" w:cstheme="majorBidi"/>
        </w:rPr>
        <w:t xml:space="preserve"> </w:t>
      </w:r>
      <w:r w:rsidRPr="006459C4">
        <w:rPr>
          <w:rFonts w:asciiTheme="majorBidi" w:hAnsiTheme="majorBidi" w:cstheme="majorBidi"/>
          <w:sz w:val="18"/>
          <w:szCs w:val="18"/>
        </w:rPr>
        <w:t xml:space="preserve">Shahid, M., Bhatti, F. A., Mohtesham, M. M. J., &amp; Mahadi, N. F. B. (2022). </w:t>
      </w:r>
      <w:r w:rsidRPr="006459C4">
        <w:rPr>
          <w:rFonts w:asciiTheme="majorBidi" w:hAnsiTheme="majorBidi" w:cstheme="majorBidi"/>
          <w:i/>
          <w:iCs/>
          <w:sz w:val="18"/>
          <w:szCs w:val="18"/>
        </w:rPr>
        <w:t>The Value Propositions and The Nature of The Islamic Banks Products and Services in Providing The Solution/s for The Financial Needs of Bimb Business Customer Segments</w:t>
      </w:r>
      <w:r w:rsidRPr="006459C4">
        <w:rPr>
          <w:rFonts w:asciiTheme="majorBidi" w:hAnsiTheme="majorBidi" w:cstheme="majorBidi"/>
          <w:sz w:val="18"/>
          <w:szCs w:val="18"/>
        </w:rPr>
        <w:t>. El Barka: Journal of Islamic Economics and Business, 5(1), 105-134</w:t>
      </w:r>
      <w:r w:rsidR="00D10C2D" w:rsidRPr="006459C4">
        <w:rPr>
          <w:rFonts w:asciiTheme="majorBidi" w:hAnsiTheme="majorBidi" w:cstheme="majorBidi"/>
          <w:sz w:val="18"/>
          <w:szCs w:val="18"/>
        </w:rPr>
        <w:t>.</w:t>
      </w:r>
    </w:p>
  </w:footnote>
  <w:footnote w:id="13">
    <w:p w14:paraId="0DCCADE2" w14:textId="768A5EDC" w:rsidR="00E141A8" w:rsidRPr="006459C4" w:rsidRDefault="00E141A8" w:rsidP="0077659A">
      <w:pPr>
        <w:pStyle w:val="FootnoteText"/>
        <w:ind w:firstLine="720"/>
        <w:jc w:val="both"/>
        <w:rPr>
          <w:rFonts w:asciiTheme="majorBidi" w:hAnsiTheme="majorBidi" w:cstheme="majorBidi"/>
        </w:rPr>
      </w:pPr>
      <w:r w:rsidRPr="006459C4">
        <w:rPr>
          <w:rStyle w:val="FootnoteReference"/>
          <w:rFonts w:asciiTheme="majorBidi" w:hAnsiTheme="majorBidi" w:cstheme="majorBidi"/>
        </w:rPr>
        <w:footnoteRef/>
      </w:r>
      <w:r w:rsidRPr="006459C4">
        <w:rPr>
          <w:rFonts w:asciiTheme="majorBidi" w:hAnsiTheme="majorBidi" w:cstheme="majorBidi"/>
        </w:rPr>
        <w:t xml:space="preserve"> Mehjabin, A. (2022). </w:t>
      </w:r>
      <w:r w:rsidRPr="006459C4">
        <w:rPr>
          <w:rFonts w:asciiTheme="majorBidi" w:hAnsiTheme="majorBidi" w:cstheme="majorBidi"/>
          <w:i/>
          <w:iCs/>
        </w:rPr>
        <w:t>Analysis of investment risk management efficiency of Islami Bank Bangladesh</w:t>
      </w:r>
      <w:r w:rsidRPr="006459C4">
        <w:rPr>
          <w:rFonts w:asciiTheme="majorBidi" w:hAnsiTheme="majorBidi" w:cstheme="majorBidi"/>
        </w:rPr>
        <w:t xml:space="preserve"> Limited compared to conventional banks in Bangladesh</w:t>
      </w:r>
      <w:r w:rsidR="009A759A" w:rsidRPr="006459C4">
        <w:rPr>
          <w:rFonts w:asciiTheme="majorBidi" w:hAnsiTheme="majorBidi" w:cstheme="majorBidi"/>
        </w:rPr>
        <w:t>.</w:t>
      </w:r>
    </w:p>
  </w:footnote>
  <w:footnote w:id="14">
    <w:p w14:paraId="1C1D0EBA" w14:textId="05AAC3D6" w:rsidR="00295677" w:rsidRPr="006459C4" w:rsidRDefault="00295677" w:rsidP="0077659A">
      <w:pPr>
        <w:pStyle w:val="FootnoteText"/>
        <w:ind w:firstLine="720"/>
        <w:jc w:val="both"/>
        <w:rPr>
          <w:rFonts w:asciiTheme="majorBidi" w:hAnsiTheme="majorBidi" w:cstheme="majorBidi"/>
          <w:sz w:val="18"/>
          <w:szCs w:val="18"/>
        </w:rPr>
      </w:pPr>
      <w:r w:rsidRPr="006459C4">
        <w:rPr>
          <w:rStyle w:val="FootnoteReference"/>
          <w:rFonts w:asciiTheme="majorBidi" w:hAnsiTheme="majorBidi" w:cstheme="majorBidi"/>
        </w:rPr>
        <w:footnoteRef/>
      </w:r>
      <w:r w:rsidRPr="006459C4">
        <w:rPr>
          <w:rFonts w:asciiTheme="majorBidi" w:hAnsiTheme="majorBidi" w:cstheme="majorBidi"/>
        </w:rPr>
        <w:t xml:space="preserve"> </w:t>
      </w:r>
      <w:r w:rsidRPr="006459C4">
        <w:rPr>
          <w:rFonts w:asciiTheme="majorBidi" w:hAnsiTheme="majorBidi" w:cstheme="majorBidi"/>
          <w:sz w:val="18"/>
          <w:szCs w:val="18"/>
        </w:rPr>
        <w:t>Sari, D. P., Nabella, S. D., &amp; Fadlilah, A. H. (2022). The Effect of Profitability, Liquidity, Leverage, and Activity Ratios on Dividend Policy in Manufacturing Companies in the Food and Beverage Industry Sector Listed on the Indonesia Stock Exchange in the 2016-2020 Period. Jurnal Mantik, 6(2), 1365-1375.</w:t>
      </w:r>
    </w:p>
  </w:footnote>
  <w:footnote w:id="15">
    <w:p w14:paraId="6B4488A9" w14:textId="75C152D4" w:rsidR="00256F58" w:rsidRPr="006459C4" w:rsidRDefault="00256F58" w:rsidP="0077659A">
      <w:pPr>
        <w:pStyle w:val="FootnoteText"/>
        <w:ind w:firstLine="720"/>
        <w:jc w:val="both"/>
        <w:rPr>
          <w:rFonts w:asciiTheme="majorBidi" w:hAnsiTheme="majorBidi" w:cstheme="majorBidi"/>
        </w:rPr>
      </w:pPr>
      <w:r w:rsidRPr="006459C4">
        <w:rPr>
          <w:rStyle w:val="FootnoteReference"/>
          <w:rFonts w:asciiTheme="majorBidi" w:hAnsiTheme="majorBidi" w:cstheme="majorBidi"/>
        </w:rPr>
        <w:footnoteRef/>
      </w:r>
      <w:r w:rsidRPr="006459C4">
        <w:rPr>
          <w:rFonts w:asciiTheme="majorBidi" w:hAnsiTheme="majorBidi" w:cstheme="majorBidi"/>
        </w:rPr>
        <w:t xml:space="preserve"> Sihotang, M. K., Hasanah, U., &amp; Hayati, I. (2022). </w:t>
      </w:r>
      <w:r w:rsidRPr="006459C4">
        <w:rPr>
          <w:rFonts w:asciiTheme="majorBidi" w:hAnsiTheme="majorBidi" w:cstheme="majorBidi"/>
          <w:i/>
          <w:iCs/>
        </w:rPr>
        <w:t>Model Of Sharia Bank Profitability Determination Factors By Measuring Internal And Externals Variables.</w:t>
      </w:r>
      <w:r w:rsidRPr="006459C4">
        <w:rPr>
          <w:rFonts w:asciiTheme="majorBidi" w:hAnsiTheme="majorBidi" w:cstheme="majorBidi"/>
        </w:rPr>
        <w:t xml:space="preserve"> Indonesian Interdisciplinary Journal Of Sharia Economics (Iijse), 5(1), 235-251.</w:t>
      </w:r>
    </w:p>
  </w:footnote>
  <w:footnote w:id="16">
    <w:p w14:paraId="4DF57C1C" w14:textId="4334BEBE" w:rsidR="00256F58" w:rsidRPr="006459C4" w:rsidRDefault="00256F58" w:rsidP="0077659A">
      <w:pPr>
        <w:pStyle w:val="FootnoteText"/>
        <w:ind w:firstLine="720"/>
        <w:jc w:val="both"/>
        <w:rPr>
          <w:rFonts w:asciiTheme="majorBidi" w:hAnsiTheme="majorBidi" w:cstheme="majorBidi"/>
        </w:rPr>
      </w:pPr>
      <w:r w:rsidRPr="006459C4">
        <w:rPr>
          <w:rStyle w:val="FootnoteReference"/>
          <w:rFonts w:asciiTheme="majorBidi" w:hAnsiTheme="majorBidi" w:cstheme="majorBidi"/>
        </w:rPr>
        <w:footnoteRef/>
      </w:r>
      <w:r w:rsidRPr="006459C4">
        <w:rPr>
          <w:rFonts w:asciiTheme="majorBidi" w:hAnsiTheme="majorBidi" w:cstheme="majorBidi"/>
        </w:rPr>
        <w:t xml:space="preserve"> Herizal, M., Diana, D., Rezti, R., &amp; Suryani, S. (2022). </w:t>
      </w:r>
      <w:r w:rsidRPr="006459C4">
        <w:rPr>
          <w:rFonts w:asciiTheme="majorBidi" w:hAnsiTheme="majorBidi" w:cstheme="majorBidi"/>
          <w:i/>
          <w:iCs/>
        </w:rPr>
        <w:t>The Effect of Capital Adequacy Ratio, Loan to Deposit Ratio, and Operational Costs than Operating Revenue on Return on Assets: Study on Conventional Banks in Indonesia.</w:t>
      </w:r>
      <w:r w:rsidRPr="006459C4">
        <w:rPr>
          <w:rFonts w:asciiTheme="majorBidi" w:hAnsiTheme="majorBidi" w:cstheme="majorBidi"/>
        </w:rPr>
        <w:t xml:space="preserve"> Hut Publication Business and Management, 1(2), 42-59.</w:t>
      </w:r>
    </w:p>
  </w:footnote>
  <w:footnote w:id="17">
    <w:p w14:paraId="2DF7057D" w14:textId="1625DF99" w:rsidR="000C5301" w:rsidRPr="006459C4" w:rsidRDefault="000C5301" w:rsidP="0077659A">
      <w:pPr>
        <w:pStyle w:val="FootnoteText"/>
        <w:ind w:firstLine="720"/>
        <w:jc w:val="both"/>
        <w:rPr>
          <w:rFonts w:asciiTheme="majorBidi" w:hAnsiTheme="majorBidi" w:cstheme="majorBidi"/>
        </w:rPr>
      </w:pPr>
      <w:r w:rsidRPr="006459C4">
        <w:rPr>
          <w:rStyle w:val="FootnoteReference"/>
          <w:rFonts w:asciiTheme="majorBidi" w:hAnsiTheme="majorBidi" w:cstheme="majorBidi"/>
        </w:rPr>
        <w:footnoteRef/>
      </w:r>
      <w:r w:rsidRPr="006459C4">
        <w:rPr>
          <w:rFonts w:asciiTheme="majorBidi" w:hAnsiTheme="majorBidi" w:cstheme="majorBidi"/>
        </w:rPr>
        <w:t xml:space="preserve"> Nodin, M. N., Mustafa, Z., &amp; Hussain, S. I. (2022). </w:t>
      </w:r>
      <w:r w:rsidRPr="006459C4">
        <w:rPr>
          <w:rFonts w:asciiTheme="majorBidi" w:hAnsiTheme="majorBidi" w:cstheme="majorBidi"/>
          <w:i/>
          <w:iCs/>
        </w:rPr>
        <w:t>Assessing rice production efficiency for food security policy planning in Malaysia: A non-parametric bootstrap data envelopment analysis approach</w:t>
      </w:r>
      <w:r w:rsidRPr="006459C4">
        <w:rPr>
          <w:rFonts w:asciiTheme="majorBidi" w:hAnsiTheme="majorBidi" w:cstheme="majorBidi"/>
        </w:rPr>
        <w:t>. Food Policy, 107, 102208.</w:t>
      </w:r>
    </w:p>
  </w:footnote>
  <w:footnote w:id="18">
    <w:p w14:paraId="6EBA6B8F" w14:textId="48D17C4C" w:rsidR="00464B15" w:rsidRPr="006459C4" w:rsidRDefault="00464B15" w:rsidP="0077659A">
      <w:pPr>
        <w:pStyle w:val="FootnoteText"/>
        <w:ind w:firstLine="720"/>
        <w:jc w:val="both"/>
        <w:rPr>
          <w:rFonts w:asciiTheme="majorBidi" w:hAnsiTheme="majorBidi" w:cstheme="majorBidi"/>
        </w:rPr>
      </w:pPr>
      <w:r w:rsidRPr="006459C4">
        <w:rPr>
          <w:rStyle w:val="FootnoteReference"/>
          <w:rFonts w:asciiTheme="majorBidi" w:hAnsiTheme="majorBidi" w:cstheme="majorBidi"/>
        </w:rPr>
        <w:footnoteRef/>
      </w:r>
      <w:r w:rsidRPr="006459C4">
        <w:rPr>
          <w:rFonts w:asciiTheme="majorBidi" w:hAnsiTheme="majorBidi" w:cstheme="majorBidi"/>
        </w:rPr>
        <w:t xml:space="preserve"> Moghaddas, Z., Tosarkani, B. M., &amp; Yousefi, S. (2022). </w:t>
      </w:r>
      <w:r w:rsidRPr="006459C4">
        <w:rPr>
          <w:rFonts w:asciiTheme="majorBidi" w:hAnsiTheme="majorBidi" w:cstheme="majorBidi"/>
          <w:i/>
          <w:iCs/>
        </w:rPr>
        <w:t>Resource reallocation for improving sustainable supply chain performance: An inverse data envelopment analysis</w:t>
      </w:r>
      <w:r w:rsidRPr="006459C4">
        <w:rPr>
          <w:rFonts w:asciiTheme="majorBidi" w:hAnsiTheme="majorBidi" w:cstheme="majorBidi"/>
        </w:rPr>
        <w:t>. International Journal of Production Economics, 252, 108560</w:t>
      </w:r>
    </w:p>
  </w:footnote>
  <w:footnote w:id="19">
    <w:p w14:paraId="63DB3B6C" w14:textId="72093ED3" w:rsidR="00083C14" w:rsidRPr="006459C4" w:rsidRDefault="00083C14" w:rsidP="0077659A">
      <w:pPr>
        <w:pStyle w:val="FootnoteText"/>
        <w:ind w:firstLine="720"/>
        <w:jc w:val="both"/>
        <w:rPr>
          <w:rFonts w:asciiTheme="majorBidi" w:hAnsiTheme="majorBidi" w:cstheme="majorBidi"/>
        </w:rPr>
      </w:pPr>
      <w:r w:rsidRPr="006459C4">
        <w:rPr>
          <w:rStyle w:val="FootnoteReference"/>
          <w:rFonts w:asciiTheme="majorBidi" w:hAnsiTheme="majorBidi" w:cstheme="majorBidi"/>
        </w:rPr>
        <w:footnoteRef/>
      </w:r>
      <w:r w:rsidRPr="006459C4">
        <w:rPr>
          <w:rFonts w:asciiTheme="majorBidi" w:hAnsiTheme="majorBidi" w:cstheme="majorBidi"/>
        </w:rPr>
        <w:t xml:space="preserve"> Tadesse, Sable, and Work Muluye. (2020) </w:t>
      </w:r>
      <w:r w:rsidRPr="006459C4">
        <w:rPr>
          <w:rFonts w:asciiTheme="majorBidi" w:hAnsiTheme="majorBidi" w:cstheme="majorBidi"/>
          <w:i/>
          <w:iCs/>
        </w:rPr>
        <w:t>"The impact of COVID-19 pandemic on the education system in developing countries: a review."</w:t>
      </w:r>
      <w:r w:rsidRPr="006459C4">
        <w:rPr>
          <w:rFonts w:asciiTheme="majorBidi" w:hAnsiTheme="majorBidi" w:cstheme="majorBidi"/>
        </w:rPr>
        <w:t xml:space="preserve"> Open Journal of Social Sciences 8.10: 159-170</w:t>
      </w:r>
    </w:p>
  </w:footnote>
  <w:footnote w:id="20">
    <w:p w14:paraId="12EE7607" w14:textId="727BF3E7" w:rsidR="00A82DDA" w:rsidRPr="006459C4" w:rsidRDefault="00A82DDA" w:rsidP="0077659A">
      <w:pPr>
        <w:pStyle w:val="FootnoteText"/>
        <w:ind w:firstLine="720"/>
        <w:jc w:val="both"/>
        <w:rPr>
          <w:rFonts w:asciiTheme="majorBidi" w:hAnsiTheme="majorBidi" w:cstheme="majorBidi"/>
        </w:rPr>
      </w:pPr>
      <w:r w:rsidRPr="006459C4">
        <w:rPr>
          <w:rStyle w:val="FootnoteReference"/>
          <w:rFonts w:asciiTheme="majorBidi" w:hAnsiTheme="majorBidi" w:cstheme="majorBidi"/>
        </w:rPr>
        <w:footnoteRef/>
      </w:r>
      <w:r w:rsidRPr="006459C4">
        <w:rPr>
          <w:rFonts w:asciiTheme="majorBidi" w:hAnsiTheme="majorBidi" w:cstheme="majorBidi"/>
        </w:rPr>
        <w:t xml:space="preserve"> Tobroni, Imam, et al. (2020). "</w:t>
      </w:r>
      <w:r w:rsidRPr="006459C4">
        <w:rPr>
          <w:rFonts w:asciiTheme="majorBidi" w:hAnsiTheme="majorBidi" w:cstheme="majorBidi"/>
          <w:i/>
          <w:iCs/>
        </w:rPr>
        <w:t>Covid 19: Political cooperation and ritual modification of religious worship through large-scale social restrictions."</w:t>
      </w:r>
      <w:r w:rsidRPr="006459C4">
        <w:rPr>
          <w:rFonts w:asciiTheme="majorBidi" w:hAnsiTheme="majorBidi" w:cstheme="majorBidi"/>
        </w:rPr>
        <w:t xml:space="preserve"> Systematic Reviews in Pharmacy (Sys Rev Pharm.) 11.12: 644-648</w:t>
      </w:r>
    </w:p>
  </w:footnote>
  <w:footnote w:id="21">
    <w:p w14:paraId="7E8BDBE6" w14:textId="7AB0CB2F" w:rsidR="00896604" w:rsidRPr="006459C4" w:rsidRDefault="00896604" w:rsidP="0077659A">
      <w:pPr>
        <w:pStyle w:val="FootnoteText"/>
        <w:ind w:firstLine="720"/>
        <w:jc w:val="both"/>
        <w:rPr>
          <w:rFonts w:asciiTheme="majorBidi" w:hAnsiTheme="majorBidi" w:cstheme="majorBidi"/>
        </w:rPr>
      </w:pPr>
      <w:r w:rsidRPr="006459C4">
        <w:rPr>
          <w:rStyle w:val="FootnoteReference"/>
          <w:rFonts w:asciiTheme="majorBidi" w:hAnsiTheme="majorBidi" w:cstheme="majorBidi"/>
        </w:rPr>
        <w:footnoteRef/>
      </w:r>
      <w:r w:rsidRPr="006459C4">
        <w:rPr>
          <w:rFonts w:asciiTheme="majorBidi" w:hAnsiTheme="majorBidi" w:cstheme="majorBidi"/>
        </w:rPr>
        <w:t xml:space="preserve"> Sukmana, Raditya, and Nur Ahlina Febriyati. (2016). </w:t>
      </w:r>
      <w:r w:rsidRPr="006459C4">
        <w:rPr>
          <w:rFonts w:asciiTheme="majorBidi" w:hAnsiTheme="majorBidi" w:cstheme="majorBidi"/>
          <w:i/>
          <w:iCs/>
        </w:rPr>
        <w:t>"Islamic banks vs conventional banks in Indonesia: An analysis on financial performances."</w:t>
      </w:r>
      <w:r w:rsidRPr="006459C4">
        <w:rPr>
          <w:rFonts w:asciiTheme="majorBidi" w:hAnsiTheme="majorBidi" w:cstheme="majorBidi"/>
        </w:rPr>
        <w:t xml:space="preserve"> Journal of Management 47.1: 81-90.</w:t>
      </w:r>
    </w:p>
  </w:footnote>
  <w:footnote w:id="22">
    <w:p w14:paraId="45A5FE87" w14:textId="710CD69D" w:rsidR="00B872C4" w:rsidRPr="006459C4" w:rsidRDefault="00B872C4" w:rsidP="0077659A">
      <w:pPr>
        <w:pStyle w:val="FootnoteText"/>
        <w:ind w:firstLine="720"/>
        <w:jc w:val="both"/>
        <w:rPr>
          <w:rFonts w:asciiTheme="majorBidi" w:hAnsiTheme="majorBidi" w:cstheme="majorBidi"/>
        </w:rPr>
      </w:pPr>
      <w:r w:rsidRPr="006459C4">
        <w:rPr>
          <w:rStyle w:val="FootnoteReference"/>
          <w:rFonts w:asciiTheme="majorBidi" w:hAnsiTheme="majorBidi" w:cstheme="majorBidi"/>
        </w:rPr>
        <w:footnoteRef/>
      </w:r>
      <w:r w:rsidRPr="006459C4">
        <w:rPr>
          <w:rFonts w:asciiTheme="majorBidi" w:hAnsiTheme="majorBidi" w:cstheme="majorBidi"/>
        </w:rPr>
        <w:t xml:space="preserve"> Susanti, </w:t>
      </w:r>
      <w:r w:rsidRPr="006459C4">
        <w:rPr>
          <w:rFonts w:asciiTheme="majorBidi" w:hAnsiTheme="majorBidi" w:cstheme="majorBidi"/>
          <w:i/>
          <w:iCs/>
        </w:rPr>
        <w:t>Neneng</w:t>
      </w:r>
      <w:r w:rsidRPr="006459C4">
        <w:rPr>
          <w:rFonts w:asciiTheme="majorBidi" w:hAnsiTheme="majorBidi" w:cstheme="majorBidi"/>
        </w:rPr>
        <w:t>, and Vincentia Wahju Widajat. (2021). "</w:t>
      </w:r>
      <w:r w:rsidRPr="006459C4">
        <w:rPr>
          <w:rFonts w:asciiTheme="majorBidi" w:hAnsiTheme="majorBidi" w:cstheme="majorBidi"/>
          <w:i/>
          <w:iCs/>
        </w:rPr>
        <w:t>MSMEs Understanding of Taxation During the COVID-19 Pandemic</w:t>
      </w:r>
      <w:r w:rsidRPr="006459C4">
        <w:rPr>
          <w:rFonts w:asciiTheme="majorBidi" w:hAnsiTheme="majorBidi" w:cstheme="majorBidi"/>
        </w:rPr>
        <w:t>." Journal of Innovation and Community Engagement 2.1: 35-46</w:t>
      </w:r>
      <w:r w:rsidR="00912E25" w:rsidRPr="006459C4">
        <w:rPr>
          <w:rFonts w:asciiTheme="majorBidi" w:hAnsiTheme="majorBidi" w:cstheme="majorBidi"/>
        </w:rPr>
        <w:t>.</w:t>
      </w:r>
    </w:p>
  </w:footnote>
  <w:footnote w:id="23">
    <w:p w14:paraId="5EA794D9" w14:textId="6A62F2E3" w:rsidR="00912E25" w:rsidRPr="006459C4" w:rsidRDefault="00912E25" w:rsidP="0077659A">
      <w:pPr>
        <w:pStyle w:val="FootnoteText"/>
        <w:ind w:firstLine="720"/>
        <w:jc w:val="both"/>
        <w:rPr>
          <w:rFonts w:asciiTheme="majorBidi" w:hAnsiTheme="majorBidi" w:cstheme="majorBidi"/>
        </w:rPr>
      </w:pPr>
      <w:r w:rsidRPr="006459C4">
        <w:rPr>
          <w:rStyle w:val="FootnoteReference"/>
          <w:rFonts w:asciiTheme="majorBidi" w:hAnsiTheme="majorBidi" w:cstheme="majorBidi"/>
        </w:rPr>
        <w:footnoteRef/>
      </w:r>
      <w:r w:rsidRPr="006459C4">
        <w:rPr>
          <w:rFonts w:asciiTheme="majorBidi" w:hAnsiTheme="majorBidi" w:cstheme="majorBidi"/>
        </w:rPr>
        <w:t xml:space="preserve"> Sundararajan, Venkataraman. (2007). "</w:t>
      </w:r>
      <w:r w:rsidRPr="006459C4">
        <w:rPr>
          <w:rFonts w:asciiTheme="majorBidi" w:hAnsiTheme="majorBidi" w:cstheme="majorBidi"/>
          <w:i/>
          <w:iCs/>
        </w:rPr>
        <w:t>Risk measurement and disclosure in Islamic finance and the implications of profit sharing investment accounts."</w:t>
      </w:r>
      <w:r w:rsidRPr="006459C4">
        <w:rPr>
          <w:rFonts w:asciiTheme="majorBidi" w:hAnsiTheme="majorBidi" w:cstheme="majorBidi"/>
        </w:rPr>
        <w:t xml:space="preserve"> Islamic Economics and Finance 121: 121.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97CF5" w14:textId="7A7474FA" w:rsidR="00F6318B" w:rsidRPr="005A649D" w:rsidRDefault="00AD09D6" w:rsidP="00AD09D6">
    <w:pPr>
      <w:pStyle w:val="Header"/>
      <w:rPr>
        <w:rFonts w:ascii="Arial Narrow" w:hAnsi="Arial Narrow"/>
        <w:i/>
        <w:iCs/>
        <w:sz w:val="16"/>
        <w:szCs w:val="16"/>
      </w:rPr>
    </w:pPr>
    <w:r w:rsidRPr="00AD09D6">
      <w:rPr>
        <w:rFonts w:ascii="Arial Narrow" w:hAnsi="Arial Narrow"/>
        <w:i/>
        <w:iCs/>
        <w:sz w:val="16"/>
        <w:szCs w:val="16"/>
      </w:rPr>
      <w:t>Roikhan Mochamad Aziz</w:t>
    </w:r>
    <w:r w:rsidR="00F6318B" w:rsidRPr="00E907F2">
      <w:rPr>
        <w:rFonts w:ascii="Arial Narrow" w:hAnsi="Arial Narrow"/>
        <w:i/>
        <w:iCs/>
        <w:sz w:val="16"/>
        <w:szCs w:val="16"/>
      </w:rPr>
      <w:t xml:space="preserve">, </w:t>
    </w:r>
    <w:r w:rsidRPr="00AD09D6">
      <w:rPr>
        <w:rFonts w:ascii="Arial Narrow" w:hAnsi="Arial Narrow"/>
        <w:i/>
        <w:iCs/>
        <w:sz w:val="16"/>
        <w:szCs w:val="16"/>
      </w:rPr>
      <w:t>Ahmad Rodoni</w:t>
    </w:r>
    <w:r w:rsidR="00F6318B" w:rsidRPr="00E907F2">
      <w:rPr>
        <w:rFonts w:ascii="Arial Narrow" w:hAnsi="Arial Narrow"/>
        <w:i/>
        <w:iCs/>
        <w:sz w:val="16"/>
        <w:szCs w:val="16"/>
      </w:rPr>
      <w:t xml:space="preserve">, </w:t>
    </w:r>
    <w:r w:rsidRPr="00AD09D6">
      <w:rPr>
        <w:rFonts w:ascii="Arial Narrow" w:hAnsi="Arial Narrow"/>
        <w:i/>
        <w:iCs/>
        <w:sz w:val="16"/>
        <w:szCs w:val="16"/>
      </w:rPr>
      <w:t>Farid Fathony Ashal</w:t>
    </w:r>
    <w:r w:rsidR="00F6318B" w:rsidRPr="002328AE">
      <w:rPr>
        <w:rFonts w:ascii="Arial Narrow" w:hAnsi="Arial Narrow"/>
        <w:i/>
        <w:iCs/>
        <w:sz w:val="16"/>
        <w:szCs w:val="16"/>
      </w:rPr>
      <w:t xml:space="preserve"> </w:t>
    </w:r>
    <w:r w:rsidR="00F6318B" w:rsidRPr="005A649D">
      <w:rPr>
        <w:rFonts w:ascii="Arial Narrow" w:hAnsi="Arial Narrow"/>
        <w:i/>
        <w:iCs/>
        <w:sz w:val="16"/>
        <w:szCs w:val="16"/>
      </w:rPr>
      <w:t>|</w:t>
    </w:r>
    <w:r w:rsidR="00F6318B" w:rsidRPr="00043EAB">
      <w:t xml:space="preserve"> </w:t>
    </w:r>
    <w:r w:rsidR="00B858AA" w:rsidRPr="00B858AA">
      <w:rPr>
        <w:rFonts w:ascii="Arial Narrow" w:hAnsi="Arial Narrow"/>
        <w:i/>
        <w:iCs/>
        <w:sz w:val="16"/>
        <w:szCs w:val="16"/>
      </w:rPr>
      <w:t>The Profitability Efficiency</w:t>
    </w:r>
    <w:r w:rsidR="00F6318B">
      <w:rPr>
        <w:rFonts w:ascii="Arial Narrow" w:hAnsi="Arial Narrow"/>
        <w:i/>
        <w:iCs/>
        <w:sz w:val="16"/>
        <w:szCs w:val="16"/>
      </w:rPr>
      <w:t>_</w:t>
    </w:r>
  </w:p>
  <w:p w14:paraId="792BA7EE" w14:textId="5D9AB12D" w:rsidR="00F6318B" w:rsidRPr="005A649D" w:rsidRDefault="00F6318B" w:rsidP="00E668BE">
    <w:pPr>
      <w:pStyle w:val="Header"/>
      <w:tabs>
        <w:tab w:val="clear" w:pos="8306"/>
        <w:tab w:val="left" w:pos="3210"/>
      </w:tabs>
      <w:rPr>
        <w:rFonts w:ascii="Arial Narrow" w:hAnsi="Arial Narrow"/>
        <w:sz w:val="16"/>
        <w:szCs w:val="16"/>
      </w:rPr>
    </w:pPr>
    <w:r>
      <w:rPr>
        <w:rFonts w:ascii="Arial Narrow" w:hAnsi="Arial Narrow"/>
        <w:sz w:val="16"/>
        <w:szCs w:val="16"/>
      </w:rPr>
      <w:tab/>
    </w:r>
    <w:r>
      <w:rPr>
        <w:rFonts w:ascii="Arial Narrow" w:hAnsi="Arial Narrow"/>
        <w:sz w:val="16"/>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39970" w14:textId="77777777" w:rsidR="00F6318B" w:rsidRPr="005A649D" w:rsidRDefault="00F6318B" w:rsidP="002102A5">
    <w:pPr>
      <w:pStyle w:val="Header"/>
      <w:rPr>
        <w:i/>
        <w:iCs/>
        <w:sz w:val="20"/>
        <w:szCs w:val="20"/>
        <w:lang w:val="id-ID"/>
      </w:rPr>
    </w:pPr>
  </w:p>
  <w:p w14:paraId="66721788" w14:textId="77777777" w:rsidR="00F6318B" w:rsidRDefault="00F631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32B3F"/>
    <w:multiLevelType w:val="hybridMultilevel"/>
    <w:tmpl w:val="4D2ADB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763F7"/>
    <w:multiLevelType w:val="hybridMultilevel"/>
    <w:tmpl w:val="209A144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5D148CF"/>
    <w:multiLevelType w:val="hybridMultilevel"/>
    <w:tmpl w:val="0BF07B36"/>
    <w:lvl w:ilvl="0" w:tplc="EFFAE6B4">
      <w:start w:val="1"/>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 w15:restartNumberingAfterBreak="0">
    <w:nsid w:val="068E1B38"/>
    <w:multiLevelType w:val="hybridMultilevel"/>
    <w:tmpl w:val="011AA4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C28D3"/>
    <w:multiLevelType w:val="hybridMultilevel"/>
    <w:tmpl w:val="B06813F6"/>
    <w:lvl w:ilvl="0" w:tplc="71E243C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0B4466FA"/>
    <w:multiLevelType w:val="hybridMultilevel"/>
    <w:tmpl w:val="92E00EF8"/>
    <w:lvl w:ilvl="0" w:tplc="0409000F">
      <w:start w:val="1"/>
      <w:numFmt w:val="decimal"/>
      <w:lvlText w:val="%1."/>
      <w:lvlJc w:val="left"/>
      <w:pPr>
        <w:ind w:left="1428" w:hanging="360"/>
      </w:pPr>
    </w:lvl>
    <w:lvl w:ilvl="1" w:tplc="04210019">
      <w:start w:val="1"/>
      <w:numFmt w:val="lowerLetter"/>
      <w:lvlText w:val="%2."/>
      <w:lvlJc w:val="left"/>
      <w:pPr>
        <w:ind w:left="2148" w:hanging="360"/>
      </w:pPr>
    </w:lvl>
    <w:lvl w:ilvl="2" w:tplc="0421001B">
      <w:start w:val="1"/>
      <w:numFmt w:val="lowerRoman"/>
      <w:lvlText w:val="%3."/>
      <w:lvlJc w:val="right"/>
      <w:pPr>
        <w:ind w:left="2868" w:hanging="180"/>
      </w:pPr>
    </w:lvl>
    <w:lvl w:ilvl="3" w:tplc="0421000F">
      <w:start w:val="1"/>
      <w:numFmt w:val="decimal"/>
      <w:lvlText w:val="%4."/>
      <w:lvlJc w:val="left"/>
      <w:pPr>
        <w:ind w:left="3588" w:hanging="360"/>
      </w:pPr>
    </w:lvl>
    <w:lvl w:ilvl="4" w:tplc="04210019">
      <w:start w:val="1"/>
      <w:numFmt w:val="lowerLetter"/>
      <w:lvlText w:val="%5."/>
      <w:lvlJc w:val="left"/>
      <w:pPr>
        <w:ind w:left="4308" w:hanging="360"/>
      </w:pPr>
    </w:lvl>
    <w:lvl w:ilvl="5" w:tplc="0421001B">
      <w:start w:val="1"/>
      <w:numFmt w:val="lowerRoman"/>
      <w:lvlText w:val="%6."/>
      <w:lvlJc w:val="right"/>
      <w:pPr>
        <w:ind w:left="5028" w:hanging="180"/>
      </w:pPr>
    </w:lvl>
    <w:lvl w:ilvl="6" w:tplc="0421000F">
      <w:start w:val="1"/>
      <w:numFmt w:val="decimal"/>
      <w:lvlText w:val="%7."/>
      <w:lvlJc w:val="left"/>
      <w:pPr>
        <w:ind w:left="5748" w:hanging="360"/>
      </w:pPr>
    </w:lvl>
    <w:lvl w:ilvl="7" w:tplc="04210019">
      <w:start w:val="1"/>
      <w:numFmt w:val="lowerLetter"/>
      <w:lvlText w:val="%8."/>
      <w:lvlJc w:val="left"/>
      <w:pPr>
        <w:ind w:left="6468" w:hanging="360"/>
      </w:pPr>
    </w:lvl>
    <w:lvl w:ilvl="8" w:tplc="0421001B">
      <w:start w:val="1"/>
      <w:numFmt w:val="lowerRoman"/>
      <w:lvlText w:val="%9."/>
      <w:lvlJc w:val="right"/>
      <w:pPr>
        <w:ind w:left="7188" w:hanging="180"/>
      </w:pPr>
    </w:lvl>
  </w:abstractNum>
  <w:abstractNum w:abstractNumId="6" w15:restartNumberingAfterBreak="0">
    <w:nsid w:val="10140964"/>
    <w:multiLevelType w:val="hybridMultilevel"/>
    <w:tmpl w:val="31087100"/>
    <w:lvl w:ilvl="0" w:tplc="1A520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3A2BCD"/>
    <w:multiLevelType w:val="hybridMultilevel"/>
    <w:tmpl w:val="245887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1A22282"/>
    <w:multiLevelType w:val="hybridMultilevel"/>
    <w:tmpl w:val="55609918"/>
    <w:lvl w:ilvl="0" w:tplc="58540042">
      <w:start w:val="1"/>
      <w:numFmt w:val="decimal"/>
      <w:lvlText w:val="%1."/>
      <w:lvlJc w:val="left"/>
      <w:pPr>
        <w:ind w:left="1357" w:hanging="360"/>
      </w:pPr>
      <w:rPr>
        <w:rFonts w:hint="default"/>
      </w:rPr>
    </w:lvl>
    <w:lvl w:ilvl="1" w:tplc="04090019" w:tentative="1">
      <w:start w:val="1"/>
      <w:numFmt w:val="lowerLetter"/>
      <w:lvlText w:val="%2."/>
      <w:lvlJc w:val="left"/>
      <w:pPr>
        <w:ind w:left="2077" w:hanging="360"/>
      </w:pPr>
    </w:lvl>
    <w:lvl w:ilvl="2" w:tplc="0409001B" w:tentative="1">
      <w:start w:val="1"/>
      <w:numFmt w:val="lowerRoman"/>
      <w:lvlText w:val="%3."/>
      <w:lvlJc w:val="right"/>
      <w:pPr>
        <w:ind w:left="2797" w:hanging="180"/>
      </w:pPr>
    </w:lvl>
    <w:lvl w:ilvl="3" w:tplc="0409000F" w:tentative="1">
      <w:start w:val="1"/>
      <w:numFmt w:val="decimal"/>
      <w:lvlText w:val="%4."/>
      <w:lvlJc w:val="left"/>
      <w:pPr>
        <w:ind w:left="3517" w:hanging="360"/>
      </w:pPr>
    </w:lvl>
    <w:lvl w:ilvl="4" w:tplc="04090019" w:tentative="1">
      <w:start w:val="1"/>
      <w:numFmt w:val="lowerLetter"/>
      <w:lvlText w:val="%5."/>
      <w:lvlJc w:val="left"/>
      <w:pPr>
        <w:ind w:left="4237" w:hanging="360"/>
      </w:pPr>
    </w:lvl>
    <w:lvl w:ilvl="5" w:tplc="0409001B" w:tentative="1">
      <w:start w:val="1"/>
      <w:numFmt w:val="lowerRoman"/>
      <w:lvlText w:val="%6."/>
      <w:lvlJc w:val="right"/>
      <w:pPr>
        <w:ind w:left="4957" w:hanging="180"/>
      </w:pPr>
    </w:lvl>
    <w:lvl w:ilvl="6" w:tplc="0409000F" w:tentative="1">
      <w:start w:val="1"/>
      <w:numFmt w:val="decimal"/>
      <w:lvlText w:val="%7."/>
      <w:lvlJc w:val="left"/>
      <w:pPr>
        <w:ind w:left="5677" w:hanging="360"/>
      </w:pPr>
    </w:lvl>
    <w:lvl w:ilvl="7" w:tplc="04090019" w:tentative="1">
      <w:start w:val="1"/>
      <w:numFmt w:val="lowerLetter"/>
      <w:lvlText w:val="%8."/>
      <w:lvlJc w:val="left"/>
      <w:pPr>
        <w:ind w:left="6397" w:hanging="360"/>
      </w:pPr>
    </w:lvl>
    <w:lvl w:ilvl="8" w:tplc="0409001B" w:tentative="1">
      <w:start w:val="1"/>
      <w:numFmt w:val="lowerRoman"/>
      <w:lvlText w:val="%9."/>
      <w:lvlJc w:val="right"/>
      <w:pPr>
        <w:ind w:left="7117" w:hanging="180"/>
      </w:pPr>
    </w:lvl>
  </w:abstractNum>
  <w:abstractNum w:abstractNumId="9" w15:restartNumberingAfterBreak="0">
    <w:nsid w:val="11B460C4"/>
    <w:multiLevelType w:val="hybridMultilevel"/>
    <w:tmpl w:val="362A5FB8"/>
    <w:lvl w:ilvl="0" w:tplc="44E4691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15:restartNumberingAfterBreak="0">
    <w:nsid w:val="122B31DC"/>
    <w:multiLevelType w:val="hybridMultilevel"/>
    <w:tmpl w:val="73C02F48"/>
    <w:lvl w:ilvl="0" w:tplc="DADCC3C2">
      <w:start w:val="1"/>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12B3113B"/>
    <w:multiLevelType w:val="hybridMultilevel"/>
    <w:tmpl w:val="51D8307C"/>
    <w:lvl w:ilvl="0" w:tplc="8AC2C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8187BEE"/>
    <w:multiLevelType w:val="hybridMultilevel"/>
    <w:tmpl w:val="A2703F28"/>
    <w:lvl w:ilvl="0" w:tplc="8B5257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AB309C3"/>
    <w:multiLevelType w:val="hybridMultilevel"/>
    <w:tmpl w:val="7A9880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545867"/>
    <w:multiLevelType w:val="hybridMultilevel"/>
    <w:tmpl w:val="33186CDC"/>
    <w:lvl w:ilvl="0" w:tplc="64822EEA">
      <w:start w:val="1"/>
      <w:numFmt w:val="low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5" w15:restartNumberingAfterBreak="0">
    <w:nsid w:val="22E84805"/>
    <w:multiLevelType w:val="hybridMultilevel"/>
    <w:tmpl w:val="8D86F692"/>
    <w:lvl w:ilvl="0" w:tplc="5D0AE07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232F0444"/>
    <w:multiLevelType w:val="hybridMultilevel"/>
    <w:tmpl w:val="54828500"/>
    <w:lvl w:ilvl="0" w:tplc="C4C2FD9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2436577D"/>
    <w:multiLevelType w:val="hybridMultilevel"/>
    <w:tmpl w:val="6D026C00"/>
    <w:lvl w:ilvl="0" w:tplc="466A9EB8">
      <w:start w:val="1"/>
      <w:numFmt w:val="decimal"/>
      <w:lvlText w:val="%1."/>
      <w:lvlJc w:val="left"/>
      <w:pPr>
        <w:ind w:left="720" w:hanging="360"/>
      </w:pPr>
      <w:rPr>
        <w:rFonts w:cstheme="minorBidi"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58D3CAD"/>
    <w:multiLevelType w:val="hybridMultilevel"/>
    <w:tmpl w:val="0016BC78"/>
    <w:lvl w:ilvl="0" w:tplc="A37068FC">
      <w:start w:val="1"/>
      <w:numFmt w:val="bullet"/>
      <w:lvlText w:val="-"/>
      <w:lvlJc w:val="left"/>
      <w:pPr>
        <w:ind w:left="648" w:hanging="360"/>
      </w:pPr>
      <w:rPr>
        <w:rFonts w:ascii="Cambria" w:eastAsia="Calibri" w:hAnsi="Cambria"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9" w15:restartNumberingAfterBreak="0">
    <w:nsid w:val="27A3637B"/>
    <w:multiLevelType w:val="hybridMultilevel"/>
    <w:tmpl w:val="4258953C"/>
    <w:lvl w:ilvl="0" w:tplc="F3F0FB52">
      <w:start w:val="1"/>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27FB046F"/>
    <w:multiLevelType w:val="hybridMultilevel"/>
    <w:tmpl w:val="62EA3186"/>
    <w:lvl w:ilvl="0" w:tplc="3EA81072">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1" w15:restartNumberingAfterBreak="0">
    <w:nsid w:val="2BC011D3"/>
    <w:multiLevelType w:val="hybridMultilevel"/>
    <w:tmpl w:val="B77ED97A"/>
    <w:lvl w:ilvl="0" w:tplc="FB6AB37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E23989"/>
    <w:multiLevelType w:val="hybridMultilevel"/>
    <w:tmpl w:val="9814C348"/>
    <w:lvl w:ilvl="0" w:tplc="8076C72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15:restartNumberingAfterBreak="0">
    <w:nsid w:val="2F09157B"/>
    <w:multiLevelType w:val="hybridMultilevel"/>
    <w:tmpl w:val="39E45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8E24FA"/>
    <w:multiLevelType w:val="hybridMultilevel"/>
    <w:tmpl w:val="BA524D0A"/>
    <w:lvl w:ilvl="0" w:tplc="A45A8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65A5CF2"/>
    <w:multiLevelType w:val="hybridMultilevel"/>
    <w:tmpl w:val="005AE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8A09C2"/>
    <w:multiLevelType w:val="hybridMultilevel"/>
    <w:tmpl w:val="5F1C085E"/>
    <w:lvl w:ilvl="0" w:tplc="8A14BDC2">
      <w:start w:val="1"/>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7" w15:restartNumberingAfterBreak="0">
    <w:nsid w:val="3D1334E3"/>
    <w:multiLevelType w:val="hybridMultilevel"/>
    <w:tmpl w:val="BB6486E8"/>
    <w:lvl w:ilvl="0" w:tplc="B9C4169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15:restartNumberingAfterBreak="0">
    <w:nsid w:val="42AE3EF5"/>
    <w:multiLevelType w:val="hybridMultilevel"/>
    <w:tmpl w:val="0CB02C26"/>
    <w:lvl w:ilvl="0" w:tplc="32263A26">
      <w:start w:val="1"/>
      <w:numFmt w:val="lowerLetter"/>
      <w:lvlText w:val="%1."/>
      <w:lvlJc w:val="left"/>
      <w:pPr>
        <w:ind w:left="720" w:hanging="360"/>
      </w:pPr>
      <w:rPr>
        <w:rFonts w:cstheme="minorBidi"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4F414A3"/>
    <w:multiLevelType w:val="hybridMultilevel"/>
    <w:tmpl w:val="6DC21200"/>
    <w:lvl w:ilvl="0" w:tplc="6AA8199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15:restartNumberingAfterBreak="0">
    <w:nsid w:val="457E312D"/>
    <w:multiLevelType w:val="hybridMultilevel"/>
    <w:tmpl w:val="FE1C3F74"/>
    <w:lvl w:ilvl="0" w:tplc="19BE0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B4B3C22"/>
    <w:multiLevelType w:val="hybridMultilevel"/>
    <w:tmpl w:val="F93ABC4E"/>
    <w:lvl w:ilvl="0" w:tplc="7B9A56A6">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4C565281"/>
    <w:multiLevelType w:val="hybridMultilevel"/>
    <w:tmpl w:val="B628D246"/>
    <w:lvl w:ilvl="0" w:tplc="BA40D84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3" w15:restartNumberingAfterBreak="0">
    <w:nsid w:val="4EA269D0"/>
    <w:multiLevelType w:val="hybridMultilevel"/>
    <w:tmpl w:val="BAB0831C"/>
    <w:lvl w:ilvl="0" w:tplc="2D9AEA5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4" w15:restartNumberingAfterBreak="0">
    <w:nsid w:val="504937A6"/>
    <w:multiLevelType w:val="hybridMultilevel"/>
    <w:tmpl w:val="CA1629D0"/>
    <w:lvl w:ilvl="0" w:tplc="FB56A2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0730F99"/>
    <w:multiLevelType w:val="hybridMultilevel"/>
    <w:tmpl w:val="1C928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FC5810"/>
    <w:multiLevelType w:val="hybridMultilevel"/>
    <w:tmpl w:val="B1C4326E"/>
    <w:lvl w:ilvl="0" w:tplc="8FBCB0EA">
      <w:start w:val="1"/>
      <w:numFmt w:val="decimal"/>
      <w:lvlText w:val="%1."/>
      <w:lvlJc w:val="left"/>
      <w:pPr>
        <w:ind w:left="720" w:hanging="360"/>
      </w:pPr>
      <w:rPr>
        <w:rFonts w:eastAsia="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BE10A4"/>
    <w:multiLevelType w:val="hybridMultilevel"/>
    <w:tmpl w:val="F7E81C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5BA93412"/>
    <w:multiLevelType w:val="hybridMultilevel"/>
    <w:tmpl w:val="43CE94C6"/>
    <w:lvl w:ilvl="0" w:tplc="4B72AE6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9" w15:restartNumberingAfterBreak="0">
    <w:nsid w:val="5E92588B"/>
    <w:multiLevelType w:val="hybridMultilevel"/>
    <w:tmpl w:val="38847A28"/>
    <w:lvl w:ilvl="0" w:tplc="6DF609F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5F354E61"/>
    <w:multiLevelType w:val="hybridMultilevel"/>
    <w:tmpl w:val="DD467D7A"/>
    <w:lvl w:ilvl="0" w:tplc="2B14150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1" w15:restartNumberingAfterBreak="0">
    <w:nsid w:val="662D11FD"/>
    <w:multiLevelType w:val="hybridMultilevel"/>
    <w:tmpl w:val="07A490AE"/>
    <w:lvl w:ilvl="0" w:tplc="E860309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2" w15:restartNumberingAfterBreak="0">
    <w:nsid w:val="66F77118"/>
    <w:multiLevelType w:val="hybridMultilevel"/>
    <w:tmpl w:val="4386CBEA"/>
    <w:lvl w:ilvl="0" w:tplc="5F4A08FE">
      <w:start w:val="1"/>
      <w:numFmt w:val="decimal"/>
      <w:lvlText w:val="%1."/>
      <w:lvlJc w:val="left"/>
      <w:pPr>
        <w:ind w:left="329" w:hanging="360"/>
      </w:pPr>
      <w:rPr>
        <w:rFonts w:eastAsia="Calibri" w:hint="default"/>
        <w:i/>
        <w:sz w:val="20"/>
      </w:rPr>
    </w:lvl>
    <w:lvl w:ilvl="1" w:tplc="04090019" w:tentative="1">
      <w:start w:val="1"/>
      <w:numFmt w:val="lowerLetter"/>
      <w:lvlText w:val="%2."/>
      <w:lvlJc w:val="left"/>
      <w:pPr>
        <w:ind w:left="1049" w:hanging="360"/>
      </w:pPr>
    </w:lvl>
    <w:lvl w:ilvl="2" w:tplc="0409001B" w:tentative="1">
      <w:start w:val="1"/>
      <w:numFmt w:val="lowerRoman"/>
      <w:lvlText w:val="%3."/>
      <w:lvlJc w:val="right"/>
      <w:pPr>
        <w:ind w:left="1769" w:hanging="180"/>
      </w:pPr>
    </w:lvl>
    <w:lvl w:ilvl="3" w:tplc="0409000F" w:tentative="1">
      <w:start w:val="1"/>
      <w:numFmt w:val="decimal"/>
      <w:lvlText w:val="%4."/>
      <w:lvlJc w:val="left"/>
      <w:pPr>
        <w:ind w:left="2489" w:hanging="360"/>
      </w:pPr>
    </w:lvl>
    <w:lvl w:ilvl="4" w:tplc="04090019" w:tentative="1">
      <w:start w:val="1"/>
      <w:numFmt w:val="lowerLetter"/>
      <w:lvlText w:val="%5."/>
      <w:lvlJc w:val="left"/>
      <w:pPr>
        <w:ind w:left="3209" w:hanging="360"/>
      </w:pPr>
    </w:lvl>
    <w:lvl w:ilvl="5" w:tplc="0409001B" w:tentative="1">
      <w:start w:val="1"/>
      <w:numFmt w:val="lowerRoman"/>
      <w:lvlText w:val="%6."/>
      <w:lvlJc w:val="right"/>
      <w:pPr>
        <w:ind w:left="3929" w:hanging="180"/>
      </w:pPr>
    </w:lvl>
    <w:lvl w:ilvl="6" w:tplc="0409000F" w:tentative="1">
      <w:start w:val="1"/>
      <w:numFmt w:val="decimal"/>
      <w:lvlText w:val="%7."/>
      <w:lvlJc w:val="left"/>
      <w:pPr>
        <w:ind w:left="4649" w:hanging="360"/>
      </w:pPr>
    </w:lvl>
    <w:lvl w:ilvl="7" w:tplc="04090019" w:tentative="1">
      <w:start w:val="1"/>
      <w:numFmt w:val="lowerLetter"/>
      <w:lvlText w:val="%8."/>
      <w:lvlJc w:val="left"/>
      <w:pPr>
        <w:ind w:left="5369" w:hanging="360"/>
      </w:pPr>
    </w:lvl>
    <w:lvl w:ilvl="8" w:tplc="0409001B" w:tentative="1">
      <w:start w:val="1"/>
      <w:numFmt w:val="lowerRoman"/>
      <w:lvlText w:val="%9."/>
      <w:lvlJc w:val="right"/>
      <w:pPr>
        <w:ind w:left="6089" w:hanging="180"/>
      </w:pPr>
    </w:lvl>
  </w:abstractNum>
  <w:abstractNum w:abstractNumId="43" w15:restartNumberingAfterBreak="0">
    <w:nsid w:val="6AB90801"/>
    <w:multiLevelType w:val="hybridMultilevel"/>
    <w:tmpl w:val="62803476"/>
    <w:lvl w:ilvl="0" w:tplc="CB36811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4" w15:restartNumberingAfterBreak="0">
    <w:nsid w:val="6C554FC6"/>
    <w:multiLevelType w:val="hybridMultilevel"/>
    <w:tmpl w:val="7DFC92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DD3FF8"/>
    <w:multiLevelType w:val="hybridMultilevel"/>
    <w:tmpl w:val="E3888890"/>
    <w:lvl w:ilvl="0" w:tplc="3828E0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1D97191"/>
    <w:multiLevelType w:val="hybridMultilevel"/>
    <w:tmpl w:val="BD7AA1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6D768F"/>
    <w:multiLevelType w:val="hybridMultilevel"/>
    <w:tmpl w:val="C5669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17"/>
  </w:num>
  <w:num w:numId="3">
    <w:abstractNumId w:val="28"/>
  </w:num>
  <w:num w:numId="4">
    <w:abstractNumId w:val="1"/>
  </w:num>
  <w:num w:numId="5">
    <w:abstractNumId w:val="46"/>
  </w:num>
  <w:num w:numId="6">
    <w:abstractNumId w:val="21"/>
  </w:num>
  <w:num w:numId="7">
    <w:abstractNumId w:val="37"/>
  </w:num>
  <w:num w:numId="8">
    <w:abstractNumId w:val="36"/>
  </w:num>
  <w:num w:numId="9">
    <w:abstractNumId w:val="42"/>
  </w:num>
  <w:num w:numId="10">
    <w:abstractNumId w:val="7"/>
  </w:num>
  <w:num w:numId="11">
    <w:abstractNumId w:val="25"/>
  </w:num>
  <w:num w:numId="12">
    <w:abstractNumId w:val="34"/>
  </w:num>
  <w:num w:numId="13">
    <w:abstractNumId w:val="3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6"/>
  </w:num>
  <w:num w:numId="17">
    <w:abstractNumId w:val="44"/>
  </w:num>
  <w:num w:numId="18">
    <w:abstractNumId w:val="3"/>
  </w:num>
  <w:num w:numId="19">
    <w:abstractNumId w:val="11"/>
  </w:num>
  <w:num w:numId="20">
    <w:abstractNumId w:val="14"/>
  </w:num>
  <w:num w:numId="21">
    <w:abstractNumId w:val="20"/>
  </w:num>
  <w:num w:numId="22">
    <w:abstractNumId w:val="0"/>
  </w:num>
  <w:num w:numId="23">
    <w:abstractNumId w:val="12"/>
  </w:num>
  <w:num w:numId="24">
    <w:abstractNumId w:val="45"/>
  </w:num>
  <w:num w:numId="25">
    <w:abstractNumId w:val="24"/>
  </w:num>
  <w:num w:numId="26">
    <w:abstractNumId w:val="13"/>
  </w:num>
  <w:num w:numId="27">
    <w:abstractNumId w:val="47"/>
  </w:num>
  <w:num w:numId="28">
    <w:abstractNumId w:val="23"/>
  </w:num>
  <w:num w:numId="29">
    <w:abstractNumId w:val="9"/>
  </w:num>
  <w:num w:numId="30">
    <w:abstractNumId w:val="38"/>
  </w:num>
  <w:num w:numId="31">
    <w:abstractNumId w:val="19"/>
  </w:num>
  <w:num w:numId="32">
    <w:abstractNumId w:val="26"/>
  </w:num>
  <w:num w:numId="33">
    <w:abstractNumId w:val="41"/>
  </w:num>
  <w:num w:numId="34">
    <w:abstractNumId w:val="2"/>
  </w:num>
  <w:num w:numId="35">
    <w:abstractNumId w:val="10"/>
  </w:num>
  <w:num w:numId="36">
    <w:abstractNumId w:val="18"/>
  </w:num>
  <w:num w:numId="37">
    <w:abstractNumId w:val="31"/>
  </w:num>
  <w:num w:numId="38">
    <w:abstractNumId w:val="27"/>
  </w:num>
  <w:num w:numId="39">
    <w:abstractNumId w:val="32"/>
  </w:num>
  <w:num w:numId="40">
    <w:abstractNumId w:val="22"/>
  </w:num>
  <w:num w:numId="41">
    <w:abstractNumId w:val="4"/>
  </w:num>
  <w:num w:numId="42">
    <w:abstractNumId w:val="16"/>
  </w:num>
  <w:num w:numId="43">
    <w:abstractNumId w:val="8"/>
  </w:num>
  <w:num w:numId="44">
    <w:abstractNumId w:val="43"/>
  </w:num>
  <w:num w:numId="45">
    <w:abstractNumId w:val="29"/>
  </w:num>
  <w:num w:numId="46">
    <w:abstractNumId w:val="40"/>
  </w:num>
  <w:num w:numId="47">
    <w:abstractNumId w:val="33"/>
  </w:num>
  <w:num w:numId="48">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EA"/>
    <w:rsid w:val="000043B8"/>
    <w:rsid w:val="00005190"/>
    <w:rsid w:val="0000695B"/>
    <w:rsid w:val="000074B7"/>
    <w:rsid w:val="00010433"/>
    <w:rsid w:val="000228EC"/>
    <w:rsid w:val="000248D9"/>
    <w:rsid w:val="00024C66"/>
    <w:rsid w:val="00024F44"/>
    <w:rsid w:val="00025402"/>
    <w:rsid w:val="000275C1"/>
    <w:rsid w:val="00033763"/>
    <w:rsid w:val="000339ED"/>
    <w:rsid w:val="00036DE4"/>
    <w:rsid w:val="000431C4"/>
    <w:rsid w:val="0004332E"/>
    <w:rsid w:val="00043EAB"/>
    <w:rsid w:val="00047C65"/>
    <w:rsid w:val="00050BDD"/>
    <w:rsid w:val="00050C88"/>
    <w:rsid w:val="00053F13"/>
    <w:rsid w:val="000555C4"/>
    <w:rsid w:val="00055DD4"/>
    <w:rsid w:val="0005603C"/>
    <w:rsid w:val="00057112"/>
    <w:rsid w:val="00061CB0"/>
    <w:rsid w:val="0006250D"/>
    <w:rsid w:val="00077EC7"/>
    <w:rsid w:val="00083C14"/>
    <w:rsid w:val="00083E9E"/>
    <w:rsid w:val="00084BD2"/>
    <w:rsid w:val="00085E4A"/>
    <w:rsid w:val="00087F68"/>
    <w:rsid w:val="0009229A"/>
    <w:rsid w:val="00092CDF"/>
    <w:rsid w:val="000939BE"/>
    <w:rsid w:val="00094D08"/>
    <w:rsid w:val="000962EC"/>
    <w:rsid w:val="000A07F6"/>
    <w:rsid w:val="000A0E64"/>
    <w:rsid w:val="000A66E7"/>
    <w:rsid w:val="000A6BBD"/>
    <w:rsid w:val="000A798A"/>
    <w:rsid w:val="000B1472"/>
    <w:rsid w:val="000B76CA"/>
    <w:rsid w:val="000C2168"/>
    <w:rsid w:val="000C24EC"/>
    <w:rsid w:val="000C5231"/>
    <w:rsid w:val="000C5301"/>
    <w:rsid w:val="000C6DA8"/>
    <w:rsid w:val="000C7506"/>
    <w:rsid w:val="000D5427"/>
    <w:rsid w:val="000D6384"/>
    <w:rsid w:val="000D7DE5"/>
    <w:rsid w:val="000E0B3F"/>
    <w:rsid w:val="000E3CFD"/>
    <w:rsid w:val="000E4A99"/>
    <w:rsid w:val="000E4C0A"/>
    <w:rsid w:val="000E4D98"/>
    <w:rsid w:val="000F691D"/>
    <w:rsid w:val="00100DE2"/>
    <w:rsid w:val="001075EF"/>
    <w:rsid w:val="00111E73"/>
    <w:rsid w:val="00112403"/>
    <w:rsid w:val="001142BC"/>
    <w:rsid w:val="001200F2"/>
    <w:rsid w:val="00120204"/>
    <w:rsid w:val="00121F12"/>
    <w:rsid w:val="00125436"/>
    <w:rsid w:val="001265A8"/>
    <w:rsid w:val="00126E35"/>
    <w:rsid w:val="00133472"/>
    <w:rsid w:val="001355E8"/>
    <w:rsid w:val="001362A1"/>
    <w:rsid w:val="00141003"/>
    <w:rsid w:val="00142DE6"/>
    <w:rsid w:val="00145241"/>
    <w:rsid w:val="00147A53"/>
    <w:rsid w:val="00152678"/>
    <w:rsid w:val="00152DCE"/>
    <w:rsid w:val="00153A75"/>
    <w:rsid w:val="00154C39"/>
    <w:rsid w:val="0015595B"/>
    <w:rsid w:val="00160DFC"/>
    <w:rsid w:val="00160F65"/>
    <w:rsid w:val="001649C9"/>
    <w:rsid w:val="00174120"/>
    <w:rsid w:val="00177ADB"/>
    <w:rsid w:val="001813DF"/>
    <w:rsid w:val="00190A71"/>
    <w:rsid w:val="00192723"/>
    <w:rsid w:val="00193B60"/>
    <w:rsid w:val="00193E42"/>
    <w:rsid w:val="0019572A"/>
    <w:rsid w:val="00196831"/>
    <w:rsid w:val="001971B5"/>
    <w:rsid w:val="001A06CD"/>
    <w:rsid w:val="001A0B87"/>
    <w:rsid w:val="001A139A"/>
    <w:rsid w:val="001A1DA3"/>
    <w:rsid w:val="001A360E"/>
    <w:rsid w:val="001A5DC7"/>
    <w:rsid w:val="001A6F8B"/>
    <w:rsid w:val="001A748D"/>
    <w:rsid w:val="001A79EE"/>
    <w:rsid w:val="001B2DCA"/>
    <w:rsid w:val="001B627C"/>
    <w:rsid w:val="001B749B"/>
    <w:rsid w:val="001C48DA"/>
    <w:rsid w:val="001C5357"/>
    <w:rsid w:val="001C5709"/>
    <w:rsid w:val="001C72C3"/>
    <w:rsid w:val="001D3624"/>
    <w:rsid w:val="001D3C91"/>
    <w:rsid w:val="001D44FB"/>
    <w:rsid w:val="001D7ECC"/>
    <w:rsid w:val="001E0648"/>
    <w:rsid w:val="001E15B0"/>
    <w:rsid w:val="001F6E45"/>
    <w:rsid w:val="00200D48"/>
    <w:rsid w:val="00201934"/>
    <w:rsid w:val="00202C43"/>
    <w:rsid w:val="0020731A"/>
    <w:rsid w:val="0020750C"/>
    <w:rsid w:val="002102A5"/>
    <w:rsid w:val="00211A30"/>
    <w:rsid w:val="00212D32"/>
    <w:rsid w:val="00213482"/>
    <w:rsid w:val="00216D16"/>
    <w:rsid w:val="00217F0F"/>
    <w:rsid w:val="00220D77"/>
    <w:rsid w:val="00220F63"/>
    <w:rsid w:val="002242C7"/>
    <w:rsid w:val="00226F43"/>
    <w:rsid w:val="002327A9"/>
    <w:rsid w:val="002328AE"/>
    <w:rsid w:val="00232D26"/>
    <w:rsid w:val="0023657B"/>
    <w:rsid w:val="002403B6"/>
    <w:rsid w:val="00243B9B"/>
    <w:rsid w:val="00245D15"/>
    <w:rsid w:val="00247653"/>
    <w:rsid w:val="00252914"/>
    <w:rsid w:val="002531D6"/>
    <w:rsid w:val="00254A3F"/>
    <w:rsid w:val="00256604"/>
    <w:rsid w:val="00256F58"/>
    <w:rsid w:val="002632AE"/>
    <w:rsid w:val="002647AD"/>
    <w:rsid w:val="00264A53"/>
    <w:rsid w:val="00271BF3"/>
    <w:rsid w:val="00275549"/>
    <w:rsid w:val="0027783F"/>
    <w:rsid w:val="00277885"/>
    <w:rsid w:val="0028096B"/>
    <w:rsid w:val="00281ED6"/>
    <w:rsid w:val="00285919"/>
    <w:rsid w:val="00292722"/>
    <w:rsid w:val="00292C37"/>
    <w:rsid w:val="00293FB2"/>
    <w:rsid w:val="00295677"/>
    <w:rsid w:val="00295D5F"/>
    <w:rsid w:val="002A0515"/>
    <w:rsid w:val="002A0EF3"/>
    <w:rsid w:val="002A1E2F"/>
    <w:rsid w:val="002A20A6"/>
    <w:rsid w:val="002A45F0"/>
    <w:rsid w:val="002A4A12"/>
    <w:rsid w:val="002A7FC7"/>
    <w:rsid w:val="002B16E0"/>
    <w:rsid w:val="002B2A9C"/>
    <w:rsid w:val="002B4FF8"/>
    <w:rsid w:val="002C22CB"/>
    <w:rsid w:val="002C3A66"/>
    <w:rsid w:val="002C54C0"/>
    <w:rsid w:val="002C5885"/>
    <w:rsid w:val="002D261C"/>
    <w:rsid w:val="002D39D7"/>
    <w:rsid w:val="002D6B89"/>
    <w:rsid w:val="002E00B2"/>
    <w:rsid w:val="002E2C92"/>
    <w:rsid w:val="002E57A5"/>
    <w:rsid w:val="002F0E45"/>
    <w:rsid w:val="002F39DB"/>
    <w:rsid w:val="002F60D8"/>
    <w:rsid w:val="002F6379"/>
    <w:rsid w:val="002F68A0"/>
    <w:rsid w:val="002F7460"/>
    <w:rsid w:val="00301286"/>
    <w:rsid w:val="00303489"/>
    <w:rsid w:val="0030468D"/>
    <w:rsid w:val="00304F36"/>
    <w:rsid w:val="00306D9F"/>
    <w:rsid w:val="00306EB6"/>
    <w:rsid w:val="00307679"/>
    <w:rsid w:val="00315303"/>
    <w:rsid w:val="00316734"/>
    <w:rsid w:val="003230A5"/>
    <w:rsid w:val="00323739"/>
    <w:rsid w:val="00323CB8"/>
    <w:rsid w:val="00326160"/>
    <w:rsid w:val="0032648F"/>
    <w:rsid w:val="003268E8"/>
    <w:rsid w:val="00332017"/>
    <w:rsid w:val="003323D4"/>
    <w:rsid w:val="00334A65"/>
    <w:rsid w:val="00337DDC"/>
    <w:rsid w:val="0034389D"/>
    <w:rsid w:val="003451BE"/>
    <w:rsid w:val="00346A97"/>
    <w:rsid w:val="00351413"/>
    <w:rsid w:val="003534FA"/>
    <w:rsid w:val="003538C8"/>
    <w:rsid w:val="00353B99"/>
    <w:rsid w:val="00355630"/>
    <w:rsid w:val="00355C35"/>
    <w:rsid w:val="00355F0E"/>
    <w:rsid w:val="003618CA"/>
    <w:rsid w:val="003625DB"/>
    <w:rsid w:val="00365835"/>
    <w:rsid w:val="00366CD6"/>
    <w:rsid w:val="00366F26"/>
    <w:rsid w:val="003670AA"/>
    <w:rsid w:val="00367543"/>
    <w:rsid w:val="00367752"/>
    <w:rsid w:val="00367A94"/>
    <w:rsid w:val="00376049"/>
    <w:rsid w:val="0037657C"/>
    <w:rsid w:val="003766D5"/>
    <w:rsid w:val="00377B32"/>
    <w:rsid w:val="00382456"/>
    <w:rsid w:val="00385F04"/>
    <w:rsid w:val="00387B8B"/>
    <w:rsid w:val="00394819"/>
    <w:rsid w:val="0039481D"/>
    <w:rsid w:val="00395C8D"/>
    <w:rsid w:val="00395DBF"/>
    <w:rsid w:val="003A34FF"/>
    <w:rsid w:val="003A4552"/>
    <w:rsid w:val="003A4DD6"/>
    <w:rsid w:val="003A62F0"/>
    <w:rsid w:val="003A666A"/>
    <w:rsid w:val="003A6BCB"/>
    <w:rsid w:val="003A781C"/>
    <w:rsid w:val="003A7CC3"/>
    <w:rsid w:val="003B1221"/>
    <w:rsid w:val="003B6FF2"/>
    <w:rsid w:val="003B7235"/>
    <w:rsid w:val="003C3B1D"/>
    <w:rsid w:val="003C5DF5"/>
    <w:rsid w:val="003C6F95"/>
    <w:rsid w:val="003C752B"/>
    <w:rsid w:val="003D7D8A"/>
    <w:rsid w:val="003E123B"/>
    <w:rsid w:val="003E19F6"/>
    <w:rsid w:val="003E2A20"/>
    <w:rsid w:val="003E3338"/>
    <w:rsid w:val="003E4F58"/>
    <w:rsid w:val="003E5E99"/>
    <w:rsid w:val="003E7A0C"/>
    <w:rsid w:val="003E7AA9"/>
    <w:rsid w:val="003E7ECF"/>
    <w:rsid w:val="003F27E5"/>
    <w:rsid w:val="003F2B87"/>
    <w:rsid w:val="003F34CE"/>
    <w:rsid w:val="003F411D"/>
    <w:rsid w:val="003F422B"/>
    <w:rsid w:val="003F4501"/>
    <w:rsid w:val="003F7025"/>
    <w:rsid w:val="003F79FF"/>
    <w:rsid w:val="0040005B"/>
    <w:rsid w:val="004000B2"/>
    <w:rsid w:val="00407AF8"/>
    <w:rsid w:val="0041009A"/>
    <w:rsid w:val="0041012E"/>
    <w:rsid w:val="00411E6A"/>
    <w:rsid w:val="00412A25"/>
    <w:rsid w:val="00412F84"/>
    <w:rsid w:val="00416071"/>
    <w:rsid w:val="004230DB"/>
    <w:rsid w:val="004236C1"/>
    <w:rsid w:val="004238EC"/>
    <w:rsid w:val="004249DD"/>
    <w:rsid w:val="004251FE"/>
    <w:rsid w:val="00425433"/>
    <w:rsid w:val="00431841"/>
    <w:rsid w:val="00433894"/>
    <w:rsid w:val="004343C0"/>
    <w:rsid w:val="004343FA"/>
    <w:rsid w:val="00441FCC"/>
    <w:rsid w:val="00442102"/>
    <w:rsid w:val="00442B59"/>
    <w:rsid w:val="0045002C"/>
    <w:rsid w:val="00450162"/>
    <w:rsid w:val="004503C2"/>
    <w:rsid w:val="00451A78"/>
    <w:rsid w:val="00452A66"/>
    <w:rsid w:val="00452B66"/>
    <w:rsid w:val="00455DD6"/>
    <w:rsid w:val="00464B15"/>
    <w:rsid w:val="00465078"/>
    <w:rsid w:val="0046577D"/>
    <w:rsid w:val="004767C2"/>
    <w:rsid w:val="00481250"/>
    <w:rsid w:val="00482636"/>
    <w:rsid w:val="00484434"/>
    <w:rsid w:val="00484A94"/>
    <w:rsid w:val="0048658F"/>
    <w:rsid w:val="00491A99"/>
    <w:rsid w:val="0049476C"/>
    <w:rsid w:val="00495E61"/>
    <w:rsid w:val="0049677C"/>
    <w:rsid w:val="00496A41"/>
    <w:rsid w:val="004A0C2A"/>
    <w:rsid w:val="004A0C3D"/>
    <w:rsid w:val="004A2A20"/>
    <w:rsid w:val="004B1BA9"/>
    <w:rsid w:val="004B45F3"/>
    <w:rsid w:val="004B61E1"/>
    <w:rsid w:val="004B7F4D"/>
    <w:rsid w:val="004C13B8"/>
    <w:rsid w:val="004C51F3"/>
    <w:rsid w:val="004C5F6B"/>
    <w:rsid w:val="004C66FA"/>
    <w:rsid w:val="004C72A2"/>
    <w:rsid w:val="004D242D"/>
    <w:rsid w:val="004D56B5"/>
    <w:rsid w:val="004E1CD2"/>
    <w:rsid w:val="004E2A46"/>
    <w:rsid w:val="004F2300"/>
    <w:rsid w:val="004F2C90"/>
    <w:rsid w:val="0050078B"/>
    <w:rsid w:val="00500B46"/>
    <w:rsid w:val="00500E6E"/>
    <w:rsid w:val="005047AC"/>
    <w:rsid w:val="00510B2E"/>
    <w:rsid w:val="00510F46"/>
    <w:rsid w:val="00517D57"/>
    <w:rsid w:val="005228C6"/>
    <w:rsid w:val="00524D3C"/>
    <w:rsid w:val="005257C4"/>
    <w:rsid w:val="0052629F"/>
    <w:rsid w:val="00530F89"/>
    <w:rsid w:val="005317E7"/>
    <w:rsid w:val="00532306"/>
    <w:rsid w:val="0053545A"/>
    <w:rsid w:val="0054173C"/>
    <w:rsid w:val="00557475"/>
    <w:rsid w:val="005624A4"/>
    <w:rsid w:val="0056355C"/>
    <w:rsid w:val="005663F4"/>
    <w:rsid w:val="00566F33"/>
    <w:rsid w:val="00566F3A"/>
    <w:rsid w:val="00567411"/>
    <w:rsid w:val="005741CC"/>
    <w:rsid w:val="005778CC"/>
    <w:rsid w:val="00577DE3"/>
    <w:rsid w:val="00591B20"/>
    <w:rsid w:val="0059201C"/>
    <w:rsid w:val="00593901"/>
    <w:rsid w:val="00593EB8"/>
    <w:rsid w:val="00596635"/>
    <w:rsid w:val="00596F7B"/>
    <w:rsid w:val="005A5B3A"/>
    <w:rsid w:val="005A649D"/>
    <w:rsid w:val="005B2CE3"/>
    <w:rsid w:val="005C1CE6"/>
    <w:rsid w:val="005C38C1"/>
    <w:rsid w:val="005C3A9A"/>
    <w:rsid w:val="005C564A"/>
    <w:rsid w:val="005D0FB5"/>
    <w:rsid w:val="005D1475"/>
    <w:rsid w:val="005D14B7"/>
    <w:rsid w:val="005D51FF"/>
    <w:rsid w:val="005E0596"/>
    <w:rsid w:val="00601641"/>
    <w:rsid w:val="00601C63"/>
    <w:rsid w:val="0060241E"/>
    <w:rsid w:val="006061D5"/>
    <w:rsid w:val="00607996"/>
    <w:rsid w:val="006134C4"/>
    <w:rsid w:val="0061474B"/>
    <w:rsid w:val="00623A1C"/>
    <w:rsid w:val="006267CB"/>
    <w:rsid w:val="00627A20"/>
    <w:rsid w:val="006312EF"/>
    <w:rsid w:val="00631A1F"/>
    <w:rsid w:val="006369EF"/>
    <w:rsid w:val="006400B5"/>
    <w:rsid w:val="006459C4"/>
    <w:rsid w:val="00646326"/>
    <w:rsid w:val="00647ACC"/>
    <w:rsid w:val="0065143B"/>
    <w:rsid w:val="006531DF"/>
    <w:rsid w:val="006607C2"/>
    <w:rsid w:val="00667A82"/>
    <w:rsid w:val="006733A1"/>
    <w:rsid w:val="006748C4"/>
    <w:rsid w:val="00675437"/>
    <w:rsid w:val="006757DC"/>
    <w:rsid w:val="006766BB"/>
    <w:rsid w:val="00676F98"/>
    <w:rsid w:val="006776CD"/>
    <w:rsid w:val="00683F23"/>
    <w:rsid w:val="006852B3"/>
    <w:rsid w:val="00685D5D"/>
    <w:rsid w:val="00693BFB"/>
    <w:rsid w:val="00695B3E"/>
    <w:rsid w:val="006979B5"/>
    <w:rsid w:val="00697ABB"/>
    <w:rsid w:val="006A08C8"/>
    <w:rsid w:val="006A145D"/>
    <w:rsid w:val="006A2877"/>
    <w:rsid w:val="006B0BB5"/>
    <w:rsid w:val="006B1CD9"/>
    <w:rsid w:val="006B3243"/>
    <w:rsid w:val="006B45D5"/>
    <w:rsid w:val="006B6A27"/>
    <w:rsid w:val="006C2936"/>
    <w:rsid w:val="006C43FC"/>
    <w:rsid w:val="006C54AE"/>
    <w:rsid w:val="006C6407"/>
    <w:rsid w:val="006C6AAF"/>
    <w:rsid w:val="006D079C"/>
    <w:rsid w:val="006D1464"/>
    <w:rsid w:val="006D3686"/>
    <w:rsid w:val="006D56BF"/>
    <w:rsid w:val="006D605A"/>
    <w:rsid w:val="006D7A64"/>
    <w:rsid w:val="006E45B7"/>
    <w:rsid w:val="006E615D"/>
    <w:rsid w:val="006E7C9B"/>
    <w:rsid w:val="006F061E"/>
    <w:rsid w:val="006F0A90"/>
    <w:rsid w:val="006F314E"/>
    <w:rsid w:val="006F3CCE"/>
    <w:rsid w:val="006F4FD4"/>
    <w:rsid w:val="006F68FB"/>
    <w:rsid w:val="006F7E1F"/>
    <w:rsid w:val="007019E2"/>
    <w:rsid w:val="00701ACA"/>
    <w:rsid w:val="00701B18"/>
    <w:rsid w:val="00706A0D"/>
    <w:rsid w:val="00711FB2"/>
    <w:rsid w:val="007121D4"/>
    <w:rsid w:val="0071468F"/>
    <w:rsid w:val="00716A68"/>
    <w:rsid w:val="00716D70"/>
    <w:rsid w:val="007210D9"/>
    <w:rsid w:val="00724287"/>
    <w:rsid w:val="007261CC"/>
    <w:rsid w:val="00731EF3"/>
    <w:rsid w:val="00732EBE"/>
    <w:rsid w:val="00733462"/>
    <w:rsid w:val="007409A4"/>
    <w:rsid w:val="00742B05"/>
    <w:rsid w:val="007438E0"/>
    <w:rsid w:val="00743B9C"/>
    <w:rsid w:val="007449AC"/>
    <w:rsid w:val="00747587"/>
    <w:rsid w:val="00751361"/>
    <w:rsid w:val="00752B7C"/>
    <w:rsid w:val="00753617"/>
    <w:rsid w:val="00753895"/>
    <w:rsid w:val="00753A97"/>
    <w:rsid w:val="007601F2"/>
    <w:rsid w:val="00767B86"/>
    <w:rsid w:val="00770A6B"/>
    <w:rsid w:val="00775105"/>
    <w:rsid w:val="0077659A"/>
    <w:rsid w:val="007820D6"/>
    <w:rsid w:val="00793318"/>
    <w:rsid w:val="007A1C41"/>
    <w:rsid w:val="007A1F8D"/>
    <w:rsid w:val="007A26D7"/>
    <w:rsid w:val="007A4B0C"/>
    <w:rsid w:val="007A726E"/>
    <w:rsid w:val="007B1373"/>
    <w:rsid w:val="007B1A9B"/>
    <w:rsid w:val="007B4074"/>
    <w:rsid w:val="007B5CA4"/>
    <w:rsid w:val="007B628F"/>
    <w:rsid w:val="007B7F57"/>
    <w:rsid w:val="007C11FE"/>
    <w:rsid w:val="007C1F8B"/>
    <w:rsid w:val="007C321A"/>
    <w:rsid w:val="007D0C6E"/>
    <w:rsid w:val="007D368D"/>
    <w:rsid w:val="007D5C32"/>
    <w:rsid w:val="007F1B73"/>
    <w:rsid w:val="007F3FEA"/>
    <w:rsid w:val="007F480C"/>
    <w:rsid w:val="007F6615"/>
    <w:rsid w:val="00802E84"/>
    <w:rsid w:val="00805506"/>
    <w:rsid w:val="00805701"/>
    <w:rsid w:val="00805AE8"/>
    <w:rsid w:val="00805F27"/>
    <w:rsid w:val="008065CD"/>
    <w:rsid w:val="008068A4"/>
    <w:rsid w:val="00812330"/>
    <w:rsid w:val="008124E8"/>
    <w:rsid w:val="008153E9"/>
    <w:rsid w:val="00816381"/>
    <w:rsid w:val="008168C8"/>
    <w:rsid w:val="008176EF"/>
    <w:rsid w:val="00821C5B"/>
    <w:rsid w:val="00824879"/>
    <w:rsid w:val="00824BE2"/>
    <w:rsid w:val="008253A5"/>
    <w:rsid w:val="00826870"/>
    <w:rsid w:val="008271D1"/>
    <w:rsid w:val="008272FB"/>
    <w:rsid w:val="008313A1"/>
    <w:rsid w:val="00840072"/>
    <w:rsid w:val="00840E55"/>
    <w:rsid w:val="00841BFF"/>
    <w:rsid w:val="00842657"/>
    <w:rsid w:val="00842D53"/>
    <w:rsid w:val="00844549"/>
    <w:rsid w:val="00850086"/>
    <w:rsid w:val="008533A2"/>
    <w:rsid w:val="00856F7C"/>
    <w:rsid w:val="00857657"/>
    <w:rsid w:val="00860454"/>
    <w:rsid w:val="00860BD4"/>
    <w:rsid w:val="00864DDB"/>
    <w:rsid w:val="0086604C"/>
    <w:rsid w:val="00866460"/>
    <w:rsid w:val="00876E5A"/>
    <w:rsid w:val="00880681"/>
    <w:rsid w:val="008835F0"/>
    <w:rsid w:val="00884560"/>
    <w:rsid w:val="00884606"/>
    <w:rsid w:val="008862D7"/>
    <w:rsid w:val="00886C26"/>
    <w:rsid w:val="00890A61"/>
    <w:rsid w:val="00891E0C"/>
    <w:rsid w:val="00892525"/>
    <w:rsid w:val="0089377B"/>
    <w:rsid w:val="00896140"/>
    <w:rsid w:val="00896426"/>
    <w:rsid w:val="00896604"/>
    <w:rsid w:val="0089686D"/>
    <w:rsid w:val="008A1D28"/>
    <w:rsid w:val="008A1EB9"/>
    <w:rsid w:val="008A2462"/>
    <w:rsid w:val="008A2EB9"/>
    <w:rsid w:val="008A382D"/>
    <w:rsid w:val="008A3C3F"/>
    <w:rsid w:val="008A3DEE"/>
    <w:rsid w:val="008B249A"/>
    <w:rsid w:val="008B3942"/>
    <w:rsid w:val="008B61E0"/>
    <w:rsid w:val="008C1746"/>
    <w:rsid w:val="008C1920"/>
    <w:rsid w:val="008C5CF0"/>
    <w:rsid w:val="008C6979"/>
    <w:rsid w:val="008C7A68"/>
    <w:rsid w:val="008D157C"/>
    <w:rsid w:val="008D6F25"/>
    <w:rsid w:val="008D75E3"/>
    <w:rsid w:val="008E149F"/>
    <w:rsid w:val="008E222F"/>
    <w:rsid w:val="008E6377"/>
    <w:rsid w:val="008F004A"/>
    <w:rsid w:val="008F0099"/>
    <w:rsid w:val="008F41E5"/>
    <w:rsid w:val="008F5E66"/>
    <w:rsid w:val="00900977"/>
    <w:rsid w:val="00902A51"/>
    <w:rsid w:val="00902CA6"/>
    <w:rsid w:val="00903AA7"/>
    <w:rsid w:val="00903CAA"/>
    <w:rsid w:val="009045C7"/>
    <w:rsid w:val="00906191"/>
    <w:rsid w:val="0091129E"/>
    <w:rsid w:val="0091192D"/>
    <w:rsid w:val="00912006"/>
    <w:rsid w:val="00912E25"/>
    <w:rsid w:val="0091389F"/>
    <w:rsid w:val="00916FAB"/>
    <w:rsid w:val="00921BC0"/>
    <w:rsid w:val="00921CD1"/>
    <w:rsid w:val="009222B7"/>
    <w:rsid w:val="00922949"/>
    <w:rsid w:val="0092330A"/>
    <w:rsid w:val="00923A6A"/>
    <w:rsid w:val="00927CCF"/>
    <w:rsid w:val="00934FE5"/>
    <w:rsid w:val="00935BD3"/>
    <w:rsid w:val="00937DE8"/>
    <w:rsid w:val="00943524"/>
    <w:rsid w:val="00944C75"/>
    <w:rsid w:val="00950AC1"/>
    <w:rsid w:val="00956181"/>
    <w:rsid w:val="00956BE3"/>
    <w:rsid w:val="0096525C"/>
    <w:rsid w:val="009657C3"/>
    <w:rsid w:val="00965A5D"/>
    <w:rsid w:val="00967FC6"/>
    <w:rsid w:val="009709F4"/>
    <w:rsid w:val="00971025"/>
    <w:rsid w:val="00972B38"/>
    <w:rsid w:val="00973AC2"/>
    <w:rsid w:val="00973F06"/>
    <w:rsid w:val="00980C6C"/>
    <w:rsid w:val="00986574"/>
    <w:rsid w:val="0099281D"/>
    <w:rsid w:val="00994815"/>
    <w:rsid w:val="00995367"/>
    <w:rsid w:val="00995BA9"/>
    <w:rsid w:val="009A1148"/>
    <w:rsid w:val="009A12FB"/>
    <w:rsid w:val="009A2BC7"/>
    <w:rsid w:val="009A5F9A"/>
    <w:rsid w:val="009A6827"/>
    <w:rsid w:val="009A759A"/>
    <w:rsid w:val="009B1AE3"/>
    <w:rsid w:val="009B4CBA"/>
    <w:rsid w:val="009B74C3"/>
    <w:rsid w:val="009B776D"/>
    <w:rsid w:val="009C1FAF"/>
    <w:rsid w:val="009C3A28"/>
    <w:rsid w:val="009C47EB"/>
    <w:rsid w:val="009C66EB"/>
    <w:rsid w:val="009C715F"/>
    <w:rsid w:val="009D04A5"/>
    <w:rsid w:val="009D1A74"/>
    <w:rsid w:val="009D6253"/>
    <w:rsid w:val="009E0680"/>
    <w:rsid w:val="009E45AF"/>
    <w:rsid w:val="009E6D46"/>
    <w:rsid w:val="009E7221"/>
    <w:rsid w:val="009F1E44"/>
    <w:rsid w:val="00A00662"/>
    <w:rsid w:val="00A041A7"/>
    <w:rsid w:val="00A0568A"/>
    <w:rsid w:val="00A06BD8"/>
    <w:rsid w:val="00A1159B"/>
    <w:rsid w:val="00A21C7D"/>
    <w:rsid w:val="00A227A1"/>
    <w:rsid w:val="00A22F04"/>
    <w:rsid w:val="00A22F0F"/>
    <w:rsid w:val="00A273AF"/>
    <w:rsid w:val="00A27D1C"/>
    <w:rsid w:val="00A35980"/>
    <w:rsid w:val="00A36545"/>
    <w:rsid w:val="00A379E7"/>
    <w:rsid w:val="00A4107F"/>
    <w:rsid w:val="00A5112C"/>
    <w:rsid w:val="00A526CD"/>
    <w:rsid w:val="00A53E27"/>
    <w:rsid w:val="00A569F3"/>
    <w:rsid w:val="00A60C35"/>
    <w:rsid w:val="00A620A5"/>
    <w:rsid w:val="00A63D3F"/>
    <w:rsid w:val="00A66CD0"/>
    <w:rsid w:val="00A72688"/>
    <w:rsid w:val="00A7396A"/>
    <w:rsid w:val="00A74E28"/>
    <w:rsid w:val="00A74FA0"/>
    <w:rsid w:val="00A75C18"/>
    <w:rsid w:val="00A77609"/>
    <w:rsid w:val="00A82DDA"/>
    <w:rsid w:val="00A8344D"/>
    <w:rsid w:val="00A83503"/>
    <w:rsid w:val="00A83A42"/>
    <w:rsid w:val="00A943A5"/>
    <w:rsid w:val="00A94C87"/>
    <w:rsid w:val="00AA0252"/>
    <w:rsid w:val="00AA2092"/>
    <w:rsid w:val="00AB44C8"/>
    <w:rsid w:val="00AB6E5C"/>
    <w:rsid w:val="00AC13E3"/>
    <w:rsid w:val="00AC2545"/>
    <w:rsid w:val="00AC3C08"/>
    <w:rsid w:val="00AC409A"/>
    <w:rsid w:val="00AC4E49"/>
    <w:rsid w:val="00AD09D6"/>
    <w:rsid w:val="00AD0B3A"/>
    <w:rsid w:val="00AD178E"/>
    <w:rsid w:val="00AD4027"/>
    <w:rsid w:val="00AD665F"/>
    <w:rsid w:val="00AD70B1"/>
    <w:rsid w:val="00AD7A99"/>
    <w:rsid w:val="00AE65CA"/>
    <w:rsid w:val="00AE7C5A"/>
    <w:rsid w:val="00AF1213"/>
    <w:rsid w:val="00AF7D1A"/>
    <w:rsid w:val="00B01316"/>
    <w:rsid w:val="00B01A1C"/>
    <w:rsid w:val="00B02470"/>
    <w:rsid w:val="00B02B39"/>
    <w:rsid w:val="00B04ED0"/>
    <w:rsid w:val="00B05072"/>
    <w:rsid w:val="00B05482"/>
    <w:rsid w:val="00B057D7"/>
    <w:rsid w:val="00B0670A"/>
    <w:rsid w:val="00B06E6C"/>
    <w:rsid w:val="00B10935"/>
    <w:rsid w:val="00B120D1"/>
    <w:rsid w:val="00B15946"/>
    <w:rsid w:val="00B17215"/>
    <w:rsid w:val="00B17A2D"/>
    <w:rsid w:val="00B17A5E"/>
    <w:rsid w:val="00B25F77"/>
    <w:rsid w:val="00B26520"/>
    <w:rsid w:val="00B27982"/>
    <w:rsid w:val="00B34C4A"/>
    <w:rsid w:val="00B35C3F"/>
    <w:rsid w:val="00B41076"/>
    <w:rsid w:val="00B41CA2"/>
    <w:rsid w:val="00B442BD"/>
    <w:rsid w:val="00B469F9"/>
    <w:rsid w:val="00B62167"/>
    <w:rsid w:val="00B621AF"/>
    <w:rsid w:val="00B63097"/>
    <w:rsid w:val="00B655A3"/>
    <w:rsid w:val="00B67F0B"/>
    <w:rsid w:val="00B701B5"/>
    <w:rsid w:val="00B70542"/>
    <w:rsid w:val="00B74970"/>
    <w:rsid w:val="00B83A58"/>
    <w:rsid w:val="00B858AA"/>
    <w:rsid w:val="00B872C4"/>
    <w:rsid w:val="00B9292F"/>
    <w:rsid w:val="00B95D15"/>
    <w:rsid w:val="00BA09B7"/>
    <w:rsid w:val="00BA0A18"/>
    <w:rsid w:val="00BA1BEF"/>
    <w:rsid w:val="00BA2B09"/>
    <w:rsid w:val="00BA4BD0"/>
    <w:rsid w:val="00BA5B1C"/>
    <w:rsid w:val="00BB09FA"/>
    <w:rsid w:val="00BB2256"/>
    <w:rsid w:val="00BB2857"/>
    <w:rsid w:val="00BB4DE8"/>
    <w:rsid w:val="00BB6E21"/>
    <w:rsid w:val="00BB7968"/>
    <w:rsid w:val="00BC1596"/>
    <w:rsid w:val="00BC1F73"/>
    <w:rsid w:val="00BC5F3D"/>
    <w:rsid w:val="00BD079E"/>
    <w:rsid w:val="00BD0955"/>
    <w:rsid w:val="00BD0B17"/>
    <w:rsid w:val="00BD1A80"/>
    <w:rsid w:val="00BD1C61"/>
    <w:rsid w:val="00BD21E2"/>
    <w:rsid w:val="00BD2E11"/>
    <w:rsid w:val="00BD340D"/>
    <w:rsid w:val="00BE7D9F"/>
    <w:rsid w:val="00BF22BD"/>
    <w:rsid w:val="00BF375B"/>
    <w:rsid w:val="00BF7758"/>
    <w:rsid w:val="00C019B6"/>
    <w:rsid w:val="00C02E78"/>
    <w:rsid w:val="00C05C9C"/>
    <w:rsid w:val="00C1050E"/>
    <w:rsid w:val="00C11EC2"/>
    <w:rsid w:val="00C1233C"/>
    <w:rsid w:val="00C138B4"/>
    <w:rsid w:val="00C15AAE"/>
    <w:rsid w:val="00C21103"/>
    <w:rsid w:val="00C21CD6"/>
    <w:rsid w:val="00C22EB3"/>
    <w:rsid w:val="00C25FD4"/>
    <w:rsid w:val="00C26F6C"/>
    <w:rsid w:val="00C33394"/>
    <w:rsid w:val="00C36C39"/>
    <w:rsid w:val="00C36D64"/>
    <w:rsid w:val="00C40144"/>
    <w:rsid w:val="00C41648"/>
    <w:rsid w:val="00C41F10"/>
    <w:rsid w:val="00C44424"/>
    <w:rsid w:val="00C51D08"/>
    <w:rsid w:val="00C52A22"/>
    <w:rsid w:val="00C56342"/>
    <w:rsid w:val="00C60A13"/>
    <w:rsid w:val="00C60E45"/>
    <w:rsid w:val="00C623C2"/>
    <w:rsid w:val="00C65BCF"/>
    <w:rsid w:val="00C66AAC"/>
    <w:rsid w:val="00C66D1E"/>
    <w:rsid w:val="00C74AF4"/>
    <w:rsid w:val="00C75AA5"/>
    <w:rsid w:val="00C76528"/>
    <w:rsid w:val="00C81209"/>
    <w:rsid w:val="00C822AC"/>
    <w:rsid w:val="00C83B03"/>
    <w:rsid w:val="00C92344"/>
    <w:rsid w:val="00C93890"/>
    <w:rsid w:val="00C9797E"/>
    <w:rsid w:val="00CA410B"/>
    <w:rsid w:val="00CA561B"/>
    <w:rsid w:val="00CB1E0D"/>
    <w:rsid w:val="00CB335E"/>
    <w:rsid w:val="00CB451F"/>
    <w:rsid w:val="00CB5B76"/>
    <w:rsid w:val="00CC02FC"/>
    <w:rsid w:val="00CC231B"/>
    <w:rsid w:val="00CC3717"/>
    <w:rsid w:val="00CC3B0A"/>
    <w:rsid w:val="00CD086D"/>
    <w:rsid w:val="00CD6F39"/>
    <w:rsid w:val="00CE49FB"/>
    <w:rsid w:val="00CF36CC"/>
    <w:rsid w:val="00CF41B7"/>
    <w:rsid w:val="00D00321"/>
    <w:rsid w:val="00D00A50"/>
    <w:rsid w:val="00D02544"/>
    <w:rsid w:val="00D06D78"/>
    <w:rsid w:val="00D07314"/>
    <w:rsid w:val="00D10C2D"/>
    <w:rsid w:val="00D11B68"/>
    <w:rsid w:val="00D16A98"/>
    <w:rsid w:val="00D178BC"/>
    <w:rsid w:val="00D209EC"/>
    <w:rsid w:val="00D20C03"/>
    <w:rsid w:val="00D22E06"/>
    <w:rsid w:val="00D26D72"/>
    <w:rsid w:val="00D2712A"/>
    <w:rsid w:val="00D35CBF"/>
    <w:rsid w:val="00D409B3"/>
    <w:rsid w:val="00D41572"/>
    <w:rsid w:val="00D43BB9"/>
    <w:rsid w:val="00D44594"/>
    <w:rsid w:val="00D51931"/>
    <w:rsid w:val="00D526EF"/>
    <w:rsid w:val="00D63178"/>
    <w:rsid w:val="00D643A2"/>
    <w:rsid w:val="00D67284"/>
    <w:rsid w:val="00D70119"/>
    <w:rsid w:val="00D74647"/>
    <w:rsid w:val="00D76016"/>
    <w:rsid w:val="00D777F6"/>
    <w:rsid w:val="00D77AF1"/>
    <w:rsid w:val="00D80006"/>
    <w:rsid w:val="00D842A3"/>
    <w:rsid w:val="00D90911"/>
    <w:rsid w:val="00D90A43"/>
    <w:rsid w:val="00D92B52"/>
    <w:rsid w:val="00D942E2"/>
    <w:rsid w:val="00D9507A"/>
    <w:rsid w:val="00DA6317"/>
    <w:rsid w:val="00DA7C16"/>
    <w:rsid w:val="00DB0B26"/>
    <w:rsid w:val="00DB3FE6"/>
    <w:rsid w:val="00DB4551"/>
    <w:rsid w:val="00DB522D"/>
    <w:rsid w:val="00DB6423"/>
    <w:rsid w:val="00DB665C"/>
    <w:rsid w:val="00DB696E"/>
    <w:rsid w:val="00DC2F0A"/>
    <w:rsid w:val="00DC461B"/>
    <w:rsid w:val="00DC641C"/>
    <w:rsid w:val="00DC6DCF"/>
    <w:rsid w:val="00DC7506"/>
    <w:rsid w:val="00DD0D9A"/>
    <w:rsid w:val="00DD289C"/>
    <w:rsid w:val="00DD3980"/>
    <w:rsid w:val="00DD6CE6"/>
    <w:rsid w:val="00DD6F65"/>
    <w:rsid w:val="00DD7F1C"/>
    <w:rsid w:val="00DE0489"/>
    <w:rsid w:val="00DE0E1A"/>
    <w:rsid w:val="00DE3D63"/>
    <w:rsid w:val="00DE4AA1"/>
    <w:rsid w:val="00DE67BC"/>
    <w:rsid w:val="00DE711D"/>
    <w:rsid w:val="00DF1E0D"/>
    <w:rsid w:val="00DF4B43"/>
    <w:rsid w:val="00DF7D85"/>
    <w:rsid w:val="00E00861"/>
    <w:rsid w:val="00E06E3F"/>
    <w:rsid w:val="00E112C6"/>
    <w:rsid w:val="00E11F48"/>
    <w:rsid w:val="00E12650"/>
    <w:rsid w:val="00E1282C"/>
    <w:rsid w:val="00E141A8"/>
    <w:rsid w:val="00E17381"/>
    <w:rsid w:val="00E1783E"/>
    <w:rsid w:val="00E211A0"/>
    <w:rsid w:val="00E2239C"/>
    <w:rsid w:val="00E23E02"/>
    <w:rsid w:val="00E26FA2"/>
    <w:rsid w:val="00E3367A"/>
    <w:rsid w:val="00E34C1E"/>
    <w:rsid w:val="00E417FA"/>
    <w:rsid w:val="00E440EA"/>
    <w:rsid w:val="00E4627C"/>
    <w:rsid w:val="00E503FF"/>
    <w:rsid w:val="00E60279"/>
    <w:rsid w:val="00E60290"/>
    <w:rsid w:val="00E62214"/>
    <w:rsid w:val="00E63263"/>
    <w:rsid w:val="00E63A2D"/>
    <w:rsid w:val="00E668BE"/>
    <w:rsid w:val="00E66BF4"/>
    <w:rsid w:val="00E67A70"/>
    <w:rsid w:val="00E71BA0"/>
    <w:rsid w:val="00E74168"/>
    <w:rsid w:val="00E76405"/>
    <w:rsid w:val="00E80FAE"/>
    <w:rsid w:val="00E82813"/>
    <w:rsid w:val="00E905C3"/>
    <w:rsid w:val="00E907F2"/>
    <w:rsid w:val="00E9129E"/>
    <w:rsid w:val="00E91FC1"/>
    <w:rsid w:val="00E925CD"/>
    <w:rsid w:val="00E941CE"/>
    <w:rsid w:val="00E9655B"/>
    <w:rsid w:val="00EA1D84"/>
    <w:rsid w:val="00EB21E0"/>
    <w:rsid w:val="00EB4B76"/>
    <w:rsid w:val="00EB4F6A"/>
    <w:rsid w:val="00EB6ABF"/>
    <w:rsid w:val="00EB76C6"/>
    <w:rsid w:val="00EC0B90"/>
    <w:rsid w:val="00EC12DA"/>
    <w:rsid w:val="00EC26EF"/>
    <w:rsid w:val="00ED0155"/>
    <w:rsid w:val="00ED30B5"/>
    <w:rsid w:val="00EE2DE9"/>
    <w:rsid w:val="00EE7473"/>
    <w:rsid w:val="00EE7A54"/>
    <w:rsid w:val="00EF55A0"/>
    <w:rsid w:val="00EF7134"/>
    <w:rsid w:val="00EF7135"/>
    <w:rsid w:val="00F013F0"/>
    <w:rsid w:val="00F02AAA"/>
    <w:rsid w:val="00F0462A"/>
    <w:rsid w:val="00F04FC6"/>
    <w:rsid w:val="00F06153"/>
    <w:rsid w:val="00F0748C"/>
    <w:rsid w:val="00F127F4"/>
    <w:rsid w:val="00F16BF2"/>
    <w:rsid w:val="00F177CD"/>
    <w:rsid w:val="00F17F0F"/>
    <w:rsid w:val="00F2034B"/>
    <w:rsid w:val="00F23599"/>
    <w:rsid w:val="00F23889"/>
    <w:rsid w:val="00F2738E"/>
    <w:rsid w:val="00F32CAD"/>
    <w:rsid w:val="00F33562"/>
    <w:rsid w:val="00F33B4F"/>
    <w:rsid w:val="00F36837"/>
    <w:rsid w:val="00F44462"/>
    <w:rsid w:val="00F466F0"/>
    <w:rsid w:val="00F50D9F"/>
    <w:rsid w:val="00F56F76"/>
    <w:rsid w:val="00F5790E"/>
    <w:rsid w:val="00F60F51"/>
    <w:rsid w:val="00F6318B"/>
    <w:rsid w:val="00F6585B"/>
    <w:rsid w:val="00F7154B"/>
    <w:rsid w:val="00F7240E"/>
    <w:rsid w:val="00F726F6"/>
    <w:rsid w:val="00F7336B"/>
    <w:rsid w:val="00F73AE7"/>
    <w:rsid w:val="00F766DF"/>
    <w:rsid w:val="00F82EBC"/>
    <w:rsid w:val="00F8535D"/>
    <w:rsid w:val="00F929E9"/>
    <w:rsid w:val="00F93B60"/>
    <w:rsid w:val="00F93C4B"/>
    <w:rsid w:val="00FA07E7"/>
    <w:rsid w:val="00FA19CF"/>
    <w:rsid w:val="00FA6662"/>
    <w:rsid w:val="00FB416F"/>
    <w:rsid w:val="00FB4FFB"/>
    <w:rsid w:val="00FB5AC0"/>
    <w:rsid w:val="00FC18E6"/>
    <w:rsid w:val="00FC1A46"/>
    <w:rsid w:val="00FC54BE"/>
    <w:rsid w:val="00FD11ED"/>
    <w:rsid w:val="00FD2CC4"/>
    <w:rsid w:val="00FD5DDE"/>
    <w:rsid w:val="00FE02E8"/>
    <w:rsid w:val="00FE0969"/>
    <w:rsid w:val="00FE3570"/>
    <w:rsid w:val="00FE3C53"/>
    <w:rsid w:val="00FE4824"/>
    <w:rsid w:val="00FE6F4C"/>
    <w:rsid w:val="00FF4FD7"/>
    <w:rsid w:val="00FF545D"/>
    <w:rsid w:val="00FF6CE5"/>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70311"/>
  <w15:docId w15:val="{94F77440-DF71-4028-AB6C-61FEF2A8E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181"/>
    <w:rPr>
      <w:rFonts w:eastAsiaTheme="minorEastAsia"/>
      <w:lang w:val="en-US"/>
    </w:rPr>
  </w:style>
  <w:style w:type="paragraph" w:styleId="Heading1">
    <w:name w:val="heading 1"/>
    <w:basedOn w:val="Normal"/>
    <w:next w:val="Normal"/>
    <w:link w:val="Heading1Char"/>
    <w:uiPriority w:val="9"/>
    <w:qFormat/>
    <w:rsid w:val="00D2712A"/>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2712A"/>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D2712A"/>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2712A"/>
    <w:pPr>
      <w:keepNext/>
      <w:tabs>
        <w:tab w:val="num" w:pos="2880"/>
      </w:tabs>
      <w:spacing w:before="240" w:after="60" w:line="240" w:lineRule="auto"/>
      <w:ind w:left="2880" w:hanging="720"/>
      <w:outlineLvl w:val="3"/>
    </w:pPr>
    <w:rPr>
      <w:b/>
      <w:bCs/>
      <w:sz w:val="28"/>
      <w:szCs w:val="28"/>
    </w:rPr>
  </w:style>
  <w:style w:type="paragraph" w:styleId="Heading5">
    <w:name w:val="heading 5"/>
    <w:basedOn w:val="Normal"/>
    <w:next w:val="Normal"/>
    <w:link w:val="Heading5Char"/>
    <w:uiPriority w:val="9"/>
    <w:unhideWhenUsed/>
    <w:qFormat/>
    <w:rsid w:val="00D2712A"/>
    <w:pPr>
      <w:tabs>
        <w:tab w:val="num" w:pos="3600"/>
      </w:tabs>
      <w:spacing w:before="240" w:after="60" w:line="240" w:lineRule="auto"/>
      <w:ind w:left="3600" w:hanging="720"/>
      <w:outlineLvl w:val="4"/>
    </w:pPr>
    <w:rPr>
      <w:b/>
      <w:bCs/>
      <w:i/>
      <w:iCs/>
      <w:sz w:val="26"/>
      <w:szCs w:val="26"/>
    </w:rPr>
  </w:style>
  <w:style w:type="paragraph" w:styleId="Heading6">
    <w:name w:val="heading 6"/>
    <w:basedOn w:val="Normal"/>
    <w:next w:val="Normal"/>
    <w:link w:val="Heading6Char"/>
    <w:qFormat/>
    <w:rsid w:val="00D2712A"/>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D2712A"/>
    <w:pPr>
      <w:tabs>
        <w:tab w:val="num" w:pos="5040"/>
      </w:tabs>
      <w:spacing w:before="240" w:after="60" w:line="240" w:lineRule="auto"/>
      <w:ind w:left="5040" w:hanging="720"/>
      <w:outlineLvl w:val="6"/>
    </w:pPr>
    <w:rPr>
      <w:sz w:val="24"/>
      <w:szCs w:val="24"/>
    </w:rPr>
  </w:style>
  <w:style w:type="paragraph" w:styleId="Heading8">
    <w:name w:val="heading 8"/>
    <w:basedOn w:val="Normal"/>
    <w:next w:val="Normal"/>
    <w:link w:val="Heading8Char"/>
    <w:uiPriority w:val="9"/>
    <w:semiHidden/>
    <w:unhideWhenUsed/>
    <w:qFormat/>
    <w:rsid w:val="00D2712A"/>
    <w:pPr>
      <w:tabs>
        <w:tab w:val="num" w:pos="5760"/>
      </w:tabs>
      <w:spacing w:before="240" w:after="60" w:line="240" w:lineRule="auto"/>
      <w:ind w:left="5760" w:hanging="720"/>
      <w:outlineLvl w:val="7"/>
    </w:pPr>
    <w:rPr>
      <w:i/>
      <w:iCs/>
      <w:sz w:val="24"/>
      <w:szCs w:val="24"/>
    </w:rPr>
  </w:style>
  <w:style w:type="paragraph" w:styleId="Heading9">
    <w:name w:val="heading 9"/>
    <w:basedOn w:val="Normal"/>
    <w:next w:val="Normal"/>
    <w:link w:val="Heading9Char"/>
    <w:uiPriority w:val="9"/>
    <w:semiHidden/>
    <w:unhideWhenUsed/>
    <w:qFormat/>
    <w:rsid w:val="00D2712A"/>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7B628F"/>
    <w:pPr>
      <w:ind w:left="720"/>
      <w:contextualSpacing/>
    </w:pPr>
  </w:style>
  <w:style w:type="character" w:styleId="FootnoteReference">
    <w:name w:val="footnote reference"/>
    <w:basedOn w:val="DefaultParagraphFont"/>
    <w:uiPriority w:val="99"/>
    <w:unhideWhenUsed/>
    <w:rsid w:val="00DD7F1C"/>
    <w:rPr>
      <w:vertAlign w:val="superscript"/>
    </w:rPr>
  </w:style>
  <w:style w:type="paragraph" w:styleId="FootnoteText">
    <w:name w:val="footnote text"/>
    <w:aliases w:val=" Char"/>
    <w:basedOn w:val="Normal"/>
    <w:link w:val="FootnoteTextChar"/>
    <w:unhideWhenUsed/>
    <w:rsid w:val="00DD7F1C"/>
    <w:pPr>
      <w:spacing w:after="0" w:line="240" w:lineRule="auto"/>
    </w:pPr>
    <w:rPr>
      <w:sz w:val="20"/>
      <w:szCs w:val="20"/>
    </w:rPr>
  </w:style>
  <w:style w:type="character" w:customStyle="1" w:styleId="FootnoteTextChar">
    <w:name w:val="Footnote Text Char"/>
    <w:aliases w:val=" Char Char"/>
    <w:basedOn w:val="DefaultParagraphFont"/>
    <w:link w:val="FootnoteText"/>
    <w:rsid w:val="00DD7F1C"/>
    <w:rPr>
      <w:sz w:val="20"/>
      <w:szCs w:val="20"/>
    </w:rPr>
  </w:style>
  <w:style w:type="character" w:customStyle="1" w:styleId="ListParagraphChar">
    <w:name w:val="List Paragraph Char"/>
    <w:aliases w:val="Body of text Char"/>
    <w:basedOn w:val="DefaultParagraphFont"/>
    <w:link w:val="ListParagraph"/>
    <w:uiPriority w:val="34"/>
    <w:locked/>
    <w:rsid w:val="0019572A"/>
  </w:style>
  <w:style w:type="paragraph" w:styleId="Bibliography">
    <w:name w:val="Bibliography"/>
    <w:basedOn w:val="Normal"/>
    <w:next w:val="Normal"/>
    <w:uiPriority w:val="37"/>
    <w:unhideWhenUsed/>
    <w:rsid w:val="0019572A"/>
  </w:style>
  <w:style w:type="table" w:styleId="TableGrid">
    <w:name w:val="Table Grid"/>
    <w:basedOn w:val="TableNormal"/>
    <w:uiPriority w:val="59"/>
    <w:rsid w:val="00195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2712A"/>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D2712A"/>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rsid w:val="00D2712A"/>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D2712A"/>
    <w:rPr>
      <w:rFonts w:eastAsiaTheme="minorEastAsia"/>
      <w:b/>
      <w:bCs/>
      <w:sz w:val="28"/>
      <w:szCs w:val="28"/>
      <w:lang w:val="en-US"/>
    </w:rPr>
  </w:style>
  <w:style w:type="character" w:customStyle="1" w:styleId="Heading5Char">
    <w:name w:val="Heading 5 Char"/>
    <w:basedOn w:val="DefaultParagraphFont"/>
    <w:link w:val="Heading5"/>
    <w:uiPriority w:val="9"/>
    <w:rsid w:val="00D2712A"/>
    <w:rPr>
      <w:rFonts w:eastAsiaTheme="minorEastAsia"/>
      <w:b/>
      <w:bCs/>
      <w:i/>
      <w:iCs/>
      <w:sz w:val="26"/>
      <w:szCs w:val="26"/>
      <w:lang w:val="en-US"/>
    </w:rPr>
  </w:style>
  <w:style w:type="character" w:customStyle="1" w:styleId="Heading6Char">
    <w:name w:val="Heading 6 Char"/>
    <w:basedOn w:val="DefaultParagraphFont"/>
    <w:link w:val="Heading6"/>
    <w:rsid w:val="00D2712A"/>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D2712A"/>
    <w:rPr>
      <w:rFonts w:eastAsiaTheme="minorEastAsia"/>
      <w:sz w:val="24"/>
      <w:szCs w:val="24"/>
      <w:lang w:val="en-US"/>
    </w:rPr>
  </w:style>
  <w:style w:type="character" w:customStyle="1" w:styleId="Heading8Char">
    <w:name w:val="Heading 8 Char"/>
    <w:basedOn w:val="DefaultParagraphFont"/>
    <w:link w:val="Heading8"/>
    <w:uiPriority w:val="9"/>
    <w:semiHidden/>
    <w:rsid w:val="00D2712A"/>
    <w:rPr>
      <w:rFonts w:eastAsiaTheme="minorEastAsia"/>
      <w:i/>
      <w:iCs/>
      <w:sz w:val="24"/>
      <w:szCs w:val="24"/>
      <w:lang w:val="en-US"/>
    </w:rPr>
  </w:style>
  <w:style w:type="character" w:customStyle="1" w:styleId="Heading9Char">
    <w:name w:val="Heading 9 Char"/>
    <w:basedOn w:val="DefaultParagraphFont"/>
    <w:link w:val="Heading9"/>
    <w:uiPriority w:val="9"/>
    <w:semiHidden/>
    <w:rsid w:val="00D2712A"/>
    <w:rPr>
      <w:rFonts w:asciiTheme="majorHAnsi" w:eastAsiaTheme="majorEastAsia" w:hAnsiTheme="majorHAnsi" w:cstheme="majorBidi"/>
      <w:lang w:val="en-US"/>
    </w:rPr>
  </w:style>
  <w:style w:type="paragraph" w:styleId="Header">
    <w:name w:val="header"/>
    <w:basedOn w:val="Normal"/>
    <w:link w:val="HeaderChar"/>
    <w:uiPriority w:val="99"/>
    <w:unhideWhenUsed/>
    <w:rsid w:val="00D2712A"/>
    <w:pPr>
      <w:tabs>
        <w:tab w:val="center" w:pos="4153"/>
        <w:tab w:val="right" w:pos="8306"/>
      </w:tabs>
      <w:spacing w:after="0" w:line="240" w:lineRule="auto"/>
    </w:pPr>
  </w:style>
  <w:style w:type="character" w:customStyle="1" w:styleId="HeaderChar">
    <w:name w:val="Header Char"/>
    <w:basedOn w:val="DefaultParagraphFont"/>
    <w:link w:val="Header"/>
    <w:uiPriority w:val="99"/>
    <w:rsid w:val="00D2712A"/>
  </w:style>
  <w:style w:type="paragraph" w:styleId="Footer">
    <w:name w:val="footer"/>
    <w:basedOn w:val="Normal"/>
    <w:link w:val="FooterChar"/>
    <w:uiPriority w:val="99"/>
    <w:unhideWhenUsed/>
    <w:rsid w:val="00D2712A"/>
    <w:pPr>
      <w:tabs>
        <w:tab w:val="center" w:pos="4153"/>
        <w:tab w:val="right" w:pos="8306"/>
      </w:tabs>
      <w:spacing w:after="0" w:line="240" w:lineRule="auto"/>
    </w:pPr>
  </w:style>
  <w:style w:type="character" w:customStyle="1" w:styleId="FooterChar">
    <w:name w:val="Footer Char"/>
    <w:basedOn w:val="DefaultParagraphFont"/>
    <w:link w:val="Footer"/>
    <w:uiPriority w:val="99"/>
    <w:rsid w:val="00D2712A"/>
  </w:style>
  <w:style w:type="paragraph" w:styleId="BalloonText">
    <w:name w:val="Balloon Text"/>
    <w:basedOn w:val="Normal"/>
    <w:link w:val="BalloonTextChar"/>
    <w:uiPriority w:val="99"/>
    <w:semiHidden/>
    <w:unhideWhenUsed/>
    <w:rsid w:val="00D27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12A"/>
    <w:rPr>
      <w:rFonts w:ascii="Tahoma" w:hAnsi="Tahoma" w:cs="Tahoma"/>
      <w:sz w:val="16"/>
      <w:szCs w:val="16"/>
    </w:rPr>
  </w:style>
  <w:style w:type="paragraph" w:styleId="HTMLPreformatted">
    <w:name w:val="HTML Preformatted"/>
    <w:basedOn w:val="Normal"/>
    <w:link w:val="HTMLPreformattedChar"/>
    <w:uiPriority w:val="99"/>
    <w:unhideWhenUsed/>
    <w:rsid w:val="00D27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D2712A"/>
    <w:rPr>
      <w:rFonts w:ascii="Courier New" w:eastAsia="Times New Roman" w:hAnsi="Courier New" w:cs="Courier New"/>
      <w:sz w:val="20"/>
      <w:szCs w:val="20"/>
      <w:lang w:eastAsia="id-ID"/>
    </w:rPr>
  </w:style>
  <w:style w:type="paragraph" w:styleId="NoSpacing">
    <w:name w:val="No Spacing"/>
    <w:uiPriority w:val="1"/>
    <w:qFormat/>
    <w:rsid w:val="00D2712A"/>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D2712A"/>
    <w:rPr>
      <w:color w:val="0000FF" w:themeColor="hyperlink"/>
      <w:u w:val="single"/>
    </w:rPr>
  </w:style>
  <w:style w:type="table" w:customStyle="1" w:styleId="TableGrid1">
    <w:name w:val="Table Grid1"/>
    <w:basedOn w:val="TableNormal"/>
    <w:next w:val="TableGrid"/>
    <w:uiPriority w:val="59"/>
    <w:rsid w:val="00D409B3"/>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D409B3"/>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D409B3"/>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56181"/>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Strong">
    <w:name w:val="Strong"/>
    <w:basedOn w:val="DefaultParagraphFont"/>
    <w:uiPriority w:val="22"/>
    <w:qFormat/>
    <w:rsid w:val="00956181"/>
    <w:rPr>
      <w:b/>
      <w:bCs/>
    </w:rPr>
  </w:style>
  <w:style w:type="character" w:customStyle="1" w:styleId="remarkable-pre-marked">
    <w:name w:val="remarkable-pre-marked"/>
    <w:basedOn w:val="DefaultParagraphFont"/>
    <w:rsid w:val="008862D7"/>
  </w:style>
  <w:style w:type="character" w:customStyle="1" w:styleId="FootnoteCharacters">
    <w:name w:val="Footnote Characters"/>
    <w:rsid w:val="008862D7"/>
    <w:rPr>
      <w:vertAlign w:val="superscript"/>
    </w:rPr>
  </w:style>
  <w:style w:type="character" w:customStyle="1" w:styleId="hps">
    <w:name w:val="hps"/>
    <w:basedOn w:val="DefaultParagraphFont"/>
    <w:rsid w:val="008862D7"/>
  </w:style>
  <w:style w:type="character" w:customStyle="1" w:styleId="atn">
    <w:name w:val="atn"/>
    <w:basedOn w:val="DefaultParagraphFont"/>
    <w:rsid w:val="008862D7"/>
  </w:style>
  <w:style w:type="character" w:customStyle="1" w:styleId="mw-headline">
    <w:name w:val="mw-headline"/>
    <w:basedOn w:val="DefaultParagraphFont"/>
    <w:rsid w:val="008862D7"/>
  </w:style>
  <w:style w:type="character" w:customStyle="1" w:styleId="apple-converted-space">
    <w:name w:val="apple-converted-space"/>
    <w:basedOn w:val="DefaultParagraphFont"/>
    <w:rsid w:val="008862D7"/>
  </w:style>
  <w:style w:type="character" w:styleId="Emphasis">
    <w:name w:val="Emphasis"/>
    <w:uiPriority w:val="20"/>
    <w:qFormat/>
    <w:rsid w:val="008862D7"/>
    <w:rPr>
      <w:i/>
      <w:iCs/>
    </w:rPr>
  </w:style>
  <w:style w:type="character" w:customStyle="1" w:styleId="fontstyle01">
    <w:name w:val="fontstyle01"/>
    <w:rsid w:val="008862D7"/>
    <w:rPr>
      <w:rFonts w:ascii="Cambria" w:hAnsi="Cambria" w:hint="default"/>
      <w:b/>
      <w:bCs/>
      <w:i w:val="0"/>
      <w:iCs w:val="0"/>
      <w:color w:val="000000"/>
      <w:sz w:val="36"/>
      <w:szCs w:val="36"/>
    </w:rPr>
  </w:style>
  <w:style w:type="character" w:customStyle="1" w:styleId="y2iqfc">
    <w:name w:val="y2iqfc"/>
    <w:rsid w:val="008862D7"/>
  </w:style>
  <w:style w:type="character" w:styleId="LineNumber">
    <w:name w:val="line number"/>
    <w:uiPriority w:val="99"/>
    <w:semiHidden/>
    <w:unhideWhenUsed/>
    <w:rsid w:val="008862D7"/>
  </w:style>
  <w:style w:type="character" w:customStyle="1" w:styleId="markedcontent">
    <w:name w:val="markedcontent"/>
    <w:rsid w:val="008862D7"/>
  </w:style>
  <w:style w:type="paragraph" w:styleId="NormalWeb">
    <w:name w:val="Normal (Web)"/>
    <w:basedOn w:val="Normal"/>
    <w:uiPriority w:val="99"/>
    <w:unhideWhenUsed/>
    <w:rsid w:val="008B249A"/>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CommentReference">
    <w:name w:val="annotation reference"/>
    <w:basedOn w:val="DefaultParagraphFont"/>
    <w:uiPriority w:val="99"/>
    <w:semiHidden/>
    <w:unhideWhenUsed/>
    <w:rsid w:val="0049476C"/>
    <w:rPr>
      <w:sz w:val="16"/>
      <w:szCs w:val="16"/>
    </w:rPr>
  </w:style>
  <w:style w:type="paragraph" w:styleId="CommentText">
    <w:name w:val="annotation text"/>
    <w:basedOn w:val="Normal"/>
    <w:link w:val="CommentTextChar"/>
    <w:uiPriority w:val="99"/>
    <w:semiHidden/>
    <w:unhideWhenUsed/>
    <w:rsid w:val="001B2DCA"/>
    <w:pPr>
      <w:spacing w:line="240" w:lineRule="auto"/>
    </w:pPr>
    <w:rPr>
      <w:rFonts w:ascii="Calibri" w:eastAsia="Calibri" w:hAnsi="Calibri" w:cs="Calibri"/>
      <w:sz w:val="20"/>
      <w:szCs w:val="20"/>
      <w:lang w:eastAsia="ja-JP"/>
    </w:rPr>
  </w:style>
  <w:style w:type="character" w:customStyle="1" w:styleId="CommentTextChar">
    <w:name w:val="Comment Text Char"/>
    <w:basedOn w:val="DefaultParagraphFont"/>
    <w:link w:val="CommentText"/>
    <w:uiPriority w:val="99"/>
    <w:semiHidden/>
    <w:rsid w:val="001B2DCA"/>
    <w:rPr>
      <w:rFonts w:ascii="Calibri" w:eastAsia="Calibri" w:hAnsi="Calibri" w:cs="Calibri"/>
      <w:sz w:val="20"/>
      <w:szCs w:val="20"/>
      <w:lang w:val="en-US" w:eastAsia="ja-JP"/>
    </w:rPr>
  </w:style>
  <w:style w:type="table" w:styleId="PlainTable1">
    <w:name w:val="Plain Table 1"/>
    <w:basedOn w:val="TableNormal"/>
    <w:uiPriority w:val="41"/>
    <w:rsid w:val="009B1AE3"/>
    <w:pPr>
      <w:spacing w:after="0" w:line="240" w:lineRule="auto"/>
    </w:pPr>
    <w:rPr>
      <w:rFonts w:eastAsiaTheme="minorEastAsia"/>
      <w:lang w:val="en-U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8935">
      <w:bodyDiv w:val="1"/>
      <w:marLeft w:val="0"/>
      <w:marRight w:val="0"/>
      <w:marTop w:val="0"/>
      <w:marBottom w:val="0"/>
      <w:divBdr>
        <w:top w:val="none" w:sz="0" w:space="0" w:color="auto"/>
        <w:left w:val="none" w:sz="0" w:space="0" w:color="auto"/>
        <w:bottom w:val="none" w:sz="0" w:space="0" w:color="auto"/>
        <w:right w:val="none" w:sz="0" w:space="0" w:color="auto"/>
      </w:divBdr>
    </w:div>
    <w:div w:id="11032796">
      <w:bodyDiv w:val="1"/>
      <w:marLeft w:val="0"/>
      <w:marRight w:val="0"/>
      <w:marTop w:val="0"/>
      <w:marBottom w:val="0"/>
      <w:divBdr>
        <w:top w:val="none" w:sz="0" w:space="0" w:color="auto"/>
        <w:left w:val="none" w:sz="0" w:space="0" w:color="auto"/>
        <w:bottom w:val="none" w:sz="0" w:space="0" w:color="auto"/>
        <w:right w:val="none" w:sz="0" w:space="0" w:color="auto"/>
      </w:divBdr>
    </w:div>
    <w:div w:id="18431458">
      <w:bodyDiv w:val="1"/>
      <w:marLeft w:val="0"/>
      <w:marRight w:val="0"/>
      <w:marTop w:val="0"/>
      <w:marBottom w:val="0"/>
      <w:divBdr>
        <w:top w:val="none" w:sz="0" w:space="0" w:color="auto"/>
        <w:left w:val="none" w:sz="0" w:space="0" w:color="auto"/>
        <w:bottom w:val="none" w:sz="0" w:space="0" w:color="auto"/>
        <w:right w:val="none" w:sz="0" w:space="0" w:color="auto"/>
      </w:divBdr>
    </w:div>
    <w:div w:id="48848136">
      <w:bodyDiv w:val="1"/>
      <w:marLeft w:val="0"/>
      <w:marRight w:val="0"/>
      <w:marTop w:val="0"/>
      <w:marBottom w:val="0"/>
      <w:divBdr>
        <w:top w:val="none" w:sz="0" w:space="0" w:color="auto"/>
        <w:left w:val="none" w:sz="0" w:space="0" w:color="auto"/>
        <w:bottom w:val="none" w:sz="0" w:space="0" w:color="auto"/>
        <w:right w:val="none" w:sz="0" w:space="0" w:color="auto"/>
      </w:divBdr>
    </w:div>
    <w:div w:id="51739140">
      <w:bodyDiv w:val="1"/>
      <w:marLeft w:val="0"/>
      <w:marRight w:val="0"/>
      <w:marTop w:val="0"/>
      <w:marBottom w:val="0"/>
      <w:divBdr>
        <w:top w:val="none" w:sz="0" w:space="0" w:color="auto"/>
        <w:left w:val="none" w:sz="0" w:space="0" w:color="auto"/>
        <w:bottom w:val="none" w:sz="0" w:space="0" w:color="auto"/>
        <w:right w:val="none" w:sz="0" w:space="0" w:color="auto"/>
      </w:divBdr>
    </w:div>
    <w:div w:id="57289041">
      <w:bodyDiv w:val="1"/>
      <w:marLeft w:val="0"/>
      <w:marRight w:val="0"/>
      <w:marTop w:val="0"/>
      <w:marBottom w:val="0"/>
      <w:divBdr>
        <w:top w:val="none" w:sz="0" w:space="0" w:color="auto"/>
        <w:left w:val="none" w:sz="0" w:space="0" w:color="auto"/>
        <w:bottom w:val="none" w:sz="0" w:space="0" w:color="auto"/>
        <w:right w:val="none" w:sz="0" w:space="0" w:color="auto"/>
      </w:divBdr>
    </w:div>
    <w:div w:id="60374494">
      <w:bodyDiv w:val="1"/>
      <w:marLeft w:val="0"/>
      <w:marRight w:val="0"/>
      <w:marTop w:val="0"/>
      <w:marBottom w:val="0"/>
      <w:divBdr>
        <w:top w:val="none" w:sz="0" w:space="0" w:color="auto"/>
        <w:left w:val="none" w:sz="0" w:space="0" w:color="auto"/>
        <w:bottom w:val="none" w:sz="0" w:space="0" w:color="auto"/>
        <w:right w:val="none" w:sz="0" w:space="0" w:color="auto"/>
      </w:divBdr>
    </w:div>
    <w:div w:id="66347231">
      <w:bodyDiv w:val="1"/>
      <w:marLeft w:val="0"/>
      <w:marRight w:val="0"/>
      <w:marTop w:val="0"/>
      <w:marBottom w:val="0"/>
      <w:divBdr>
        <w:top w:val="none" w:sz="0" w:space="0" w:color="auto"/>
        <w:left w:val="none" w:sz="0" w:space="0" w:color="auto"/>
        <w:bottom w:val="none" w:sz="0" w:space="0" w:color="auto"/>
        <w:right w:val="none" w:sz="0" w:space="0" w:color="auto"/>
      </w:divBdr>
    </w:div>
    <w:div w:id="68768477">
      <w:bodyDiv w:val="1"/>
      <w:marLeft w:val="0"/>
      <w:marRight w:val="0"/>
      <w:marTop w:val="0"/>
      <w:marBottom w:val="0"/>
      <w:divBdr>
        <w:top w:val="none" w:sz="0" w:space="0" w:color="auto"/>
        <w:left w:val="none" w:sz="0" w:space="0" w:color="auto"/>
        <w:bottom w:val="none" w:sz="0" w:space="0" w:color="auto"/>
        <w:right w:val="none" w:sz="0" w:space="0" w:color="auto"/>
      </w:divBdr>
    </w:div>
    <w:div w:id="74714858">
      <w:bodyDiv w:val="1"/>
      <w:marLeft w:val="0"/>
      <w:marRight w:val="0"/>
      <w:marTop w:val="0"/>
      <w:marBottom w:val="0"/>
      <w:divBdr>
        <w:top w:val="none" w:sz="0" w:space="0" w:color="auto"/>
        <w:left w:val="none" w:sz="0" w:space="0" w:color="auto"/>
        <w:bottom w:val="none" w:sz="0" w:space="0" w:color="auto"/>
        <w:right w:val="none" w:sz="0" w:space="0" w:color="auto"/>
      </w:divBdr>
    </w:div>
    <w:div w:id="77483753">
      <w:bodyDiv w:val="1"/>
      <w:marLeft w:val="0"/>
      <w:marRight w:val="0"/>
      <w:marTop w:val="0"/>
      <w:marBottom w:val="0"/>
      <w:divBdr>
        <w:top w:val="none" w:sz="0" w:space="0" w:color="auto"/>
        <w:left w:val="none" w:sz="0" w:space="0" w:color="auto"/>
        <w:bottom w:val="none" w:sz="0" w:space="0" w:color="auto"/>
        <w:right w:val="none" w:sz="0" w:space="0" w:color="auto"/>
      </w:divBdr>
    </w:div>
    <w:div w:id="78985963">
      <w:bodyDiv w:val="1"/>
      <w:marLeft w:val="0"/>
      <w:marRight w:val="0"/>
      <w:marTop w:val="0"/>
      <w:marBottom w:val="0"/>
      <w:divBdr>
        <w:top w:val="none" w:sz="0" w:space="0" w:color="auto"/>
        <w:left w:val="none" w:sz="0" w:space="0" w:color="auto"/>
        <w:bottom w:val="none" w:sz="0" w:space="0" w:color="auto"/>
        <w:right w:val="none" w:sz="0" w:space="0" w:color="auto"/>
      </w:divBdr>
    </w:div>
    <w:div w:id="100075221">
      <w:bodyDiv w:val="1"/>
      <w:marLeft w:val="0"/>
      <w:marRight w:val="0"/>
      <w:marTop w:val="0"/>
      <w:marBottom w:val="0"/>
      <w:divBdr>
        <w:top w:val="none" w:sz="0" w:space="0" w:color="auto"/>
        <w:left w:val="none" w:sz="0" w:space="0" w:color="auto"/>
        <w:bottom w:val="none" w:sz="0" w:space="0" w:color="auto"/>
        <w:right w:val="none" w:sz="0" w:space="0" w:color="auto"/>
      </w:divBdr>
    </w:div>
    <w:div w:id="108011097">
      <w:bodyDiv w:val="1"/>
      <w:marLeft w:val="0"/>
      <w:marRight w:val="0"/>
      <w:marTop w:val="0"/>
      <w:marBottom w:val="0"/>
      <w:divBdr>
        <w:top w:val="none" w:sz="0" w:space="0" w:color="auto"/>
        <w:left w:val="none" w:sz="0" w:space="0" w:color="auto"/>
        <w:bottom w:val="none" w:sz="0" w:space="0" w:color="auto"/>
        <w:right w:val="none" w:sz="0" w:space="0" w:color="auto"/>
      </w:divBdr>
    </w:div>
    <w:div w:id="132527386">
      <w:bodyDiv w:val="1"/>
      <w:marLeft w:val="0"/>
      <w:marRight w:val="0"/>
      <w:marTop w:val="0"/>
      <w:marBottom w:val="0"/>
      <w:divBdr>
        <w:top w:val="none" w:sz="0" w:space="0" w:color="auto"/>
        <w:left w:val="none" w:sz="0" w:space="0" w:color="auto"/>
        <w:bottom w:val="none" w:sz="0" w:space="0" w:color="auto"/>
        <w:right w:val="none" w:sz="0" w:space="0" w:color="auto"/>
      </w:divBdr>
    </w:div>
    <w:div w:id="135345268">
      <w:bodyDiv w:val="1"/>
      <w:marLeft w:val="0"/>
      <w:marRight w:val="0"/>
      <w:marTop w:val="0"/>
      <w:marBottom w:val="0"/>
      <w:divBdr>
        <w:top w:val="none" w:sz="0" w:space="0" w:color="auto"/>
        <w:left w:val="none" w:sz="0" w:space="0" w:color="auto"/>
        <w:bottom w:val="none" w:sz="0" w:space="0" w:color="auto"/>
        <w:right w:val="none" w:sz="0" w:space="0" w:color="auto"/>
      </w:divBdr>
    </w:div>
    <w:div w:id="135417164">
      <w:bodyDiv w:val="1"/>
      <w:marLeft w:val="0"/>
      <w:marRight w:val="0"/>
      <w:marTop w:val="0"/>
      <w:marBottom w:val="0"/>
      <w:divBdr>
        <w:top w:val="none" w:sz="0" w:space="0" w:color="auto"/>
        <w:left w:val="none" w:sz="0" w:space="0" w:color="auto"/>
        <w:bottom w:val="none" w:sz="0" w:space="0" w:color="auto"/>
        <w:right w:val="none" w:sz="0" w:space="0" w:color="auto"/>
      </w:divBdr>
    </w:div>
    <w:div w:id="139419616">
      <w:bodyDiv w:val="1"/>
      <w:marLeft w:val="0"/>
      <w:marRight w:val="0"/>
      <w:marTop w:val="0"/>
      <w:marBottom w:val="0"/>
      <w:divBdr>
        <w:top w:val="none" w:sz="0" w:space="0" w:color="auto"/>
        <w:left w:val="none" w:sz="0" w:space="0" w:color="auto"/>
        <w:bottom w:val="none" w:sz="0" w:space="0" w:color="auto"/>
        <w:right w:val="none" w:sz="0" w:space="0" w:color="auto"/>
      </w:divBdr>
    </w:div>
    <w:div w:id="158233689">
      <w:bodyDiv w:val="1"/>
      <w:marLeft w:val="0"/>
      <w:marRight w:val="0"/>
      <w:marTop w:val="0"/>
      <w:marBottom w:val="0"/>
      <w:divBdr>
        <w:top w:val="none" w:sz="0" w:space="0" w:color="auto"/>
        <w:left w:val="none" w:sz="0" w:space="0" w:color="auto"/>
        <w:bottom w:val="none" w:sz="0" w:space="0" w:color="auto"/>
        <w:right w:val="none" w:sz="0" w:space="0" w:color="auto"/>
      </w:divBdr>
    </w:div>
    <w:div w:id="197930941">
      <w:bodyDiv w:val="1"/>
      <w:marLeft w:val="0"/>
      <w:marRight w:val="0"/>
      <w:marTop w:val="0"/>
      <w:marBottom w:val="0"/>
      <w:divBdr>
        <w:top w:val="none" w:sz="0" w:space="0" w:color="auto"/>
        <w:left w:val="none" w:sz="0" w:space="0" w:color="auto"/>
        <w:bottom w:val="none" w:sz="0" w:space="0" w:color="auto"/>
        <w:right w:val="none" w:sz="0" w:space="0" w:color="auto"/>
      </w:divBdr>
    </w:div>
    <w:div w:id="200166023">
      <w:bodyDiv w:val="1"/>
      <w:marLeft w:val="0"/>
      <w:marRight w:val="0"/>
      <w:marTop w:val="0"/>
      <w:marBottom w:val="0"/>
      <w:divBdr>
        <w:top w:val="none" w:sz="0" w:space="0" w:color="auto"/>
        <w:left w:val="none" w:sz="0" w:space="0" w:color="auto"/>
        <w:bottom w:val="none" w:sz="0" w:space="0" w:color="auto"/>
        <w:right w:val="none" w:sz="0" w:space="0" w:color="auto"/>
      </w:divBdr>
    </w:div>
    <w:div w:id="204873247">
      <w:bodyDiv w:val="1"/>
      <w:marLeft w:val="0"/>
      <w:marRight w:val="0"/>
      <w:marTop w:val="0"/>
      <w:marBottom w:val="0"/>
      <w:divBdr>
        <w:top w:val="none" w:sz="0" w:space="0" w:color="auto"/>
        <w:left w:val="none" w:sz="0" w:space="0" w:color="auto"/>
        <w:bottom w:val="none" w:sz="0" w:space="0" w:color="auto"/>
        <w:right w:val="none" w:sz="0" w:space="0" w:color="auto"/>
      </w:divBdr>
    </w:div>
    <w:div w:id="207882215">
      <w:bodyDiv w:val="1"/>
      <w:marLeft w:val="0"/>
      <w:marRight w:val="0"/>
      <w:marTop w:val="0"/>
      <w:marBottom w:val="0"/>
      <w:divBdr>
        <w:top w:val="none" w:sz="0" w:space="0" w:color="auto"/>
        <w:left w:val="none" w:sz="0" w:space="0" w:color="auto"/>
        <w:bottom w:val="none" w:sz="0" w:space="0" w:color="auto"/>
        <w:right w:val="none" w:sz="0" w:space="0" w:color="auto"/>
      </w:divBdr>
    </w:div>
    <w:div w:id="231162275">
      <w:bodyDiv w:val="1"/>
      <w:marLeft w:val="0"/>
      <w:marRight w:val="0"/>
      <w:marTop w:val="0"/>
      <w:marBottom w:val="0"/>
      <w:divBdr>
        <w:top w:val="none" w:sz="0" w:space="0" w:color="auto"/>
        <w:left w:val="none" w:sz="0" w:space="0" w:color="auto"/>
        <w:bottom w:val="none" w:sz="0" w:space="0" w:color="auto"/>
        <w:right w:val="none" w:sz="0" w:space="0" w:color="auto"/>
      </w:divBdr>
    </w:div>
    <w:div w:id="239603767">
      <w:bodyDiv w:val="1"/>
      <w:marLeft w:val="0"/>
      <w:marRight w:val="0"/>
      <w:marTop w:val="0"/>
      <w:marBottom w:val="0"/>
      <w:divBdr>
        <w:top w:val="none" w:sz="0" w:space="0" w:color="auto"/>
        <w:left w:val="none" w:sz="0" w:space="0" w:color="auto"/>
        <w:bottom w:val="none" w:sz="0" w:space="0" w:color="auto"/>
        <w:right w:val="none" w:sz="0" w:space="0" w:color="auto"/>
      </w:divBdr>
    </w:div>
    <w:div w:id="267470495">
      <w:bodyDiv w:val="1"/>
      <w:marLeft w:val="0"/>
      <w:marRight w:val="0"/>
      <w:marTop w:val="0"/>
      <w:marBottom w:val="0"/>
      <w:divBdr>
        <w:top w:val="none" w:sz="0" w:space="0" w:color="auto"/>
        <w:left w:val="none" w:sz="0" w:space="0" w:color="auto"/>
        <w:bottom w:val="none" w:sz="0" w:space="0" w:color="auto"/>
        <w:right w:val="none" w:sz="0" w:space="0" w:color="auto"/>
      </w:divBdr>
    </w:div>
    <w:div w:id="279000227">
      <w:bodyDiv w:val="1"/>
      <w:marLeft w:val="0"/>
      <w:marRight w:val="0"/>
      <w:marTop w:val="0"/>
      <w:marBottom w:val="0"/>
      <w:divBdr>
        <w:top w:val="none" w:sz="0" w:space="0" w:color="auto"/>
        <w:left w:val="none" w:sz="0" w:space="0" w:color="auto"/>
        <w:bottom w:val="none" w:sz="0" w:space="0" w:color="auto"/>
        <w:right w:val="none" w:sz="0" w:space="0" w:color="auto"/>
      </w:divBdr>
    </w:div>
    <w:div w:id="281423881">
      <w:bodyDiv w:val="1"/>
      <w:marLeft w:val="0"/>
      <w:marRight w:val="0"/>
      <w:marTop w:val="0"/>
      <w:marBottom w:val="0"/>
      <w:divBdr>
        <w:top w:val="none" w:sz="0" w:space="0" w:color="auto"/>
        <w:left w:val="none" w:sz="0" w:space="0" w:color="auto"/>
        <w:bottom w:val="none" w:sz="0" w:space="0" w:color="auto"/>
        <w:right w:val="none" w:sz="0" w:space="0" w:color="auto"/>
      </w:divBdr>
    </w:div>
    <w:div w:id="294145011">
      <w:bodyDiv w:val="1"/>
      <w:marLeft w:val="0"/>
      <w:marRight w:val="0"/>
      <w:marTop w:val="0"/>
      <w:marBottom w:val="0"/>
      <w:divBdr>
        <w:top w:val="none" w:sz="0" w:space="0" w:color="auto"/>
        <w:left w:val="none" w:sz="0" w:space="0" w:color="auto"/>
        <w:bottom w:val="none" w:sz="0" w:space="0" w:color="auto"/>
        <w:right w:val="none" w:sz="0" w:space="0" w:color="auto"/>
      </w:divBdr>
    </w:div>
    <w:div w:id="305016071">
      <w:bodyDiv w:val="1"/>
      <w:marLeft w:val="0"/>
      <w:marRight w:val="0"/>
      <w:marTop w:val="0"/>
      <w:marBottom w:val="0"/>
      <w:divBdr>
        <w:top w:val="none" w:sz="0" w:space="0" w:color="auto"/>
        <w:left w:val="none" w:sz="0" w:space="0" w:color="auto"/>
        <w:bottom w:val="none" w:sz="0" w:space="0" w:color="auto"/>
        <w:right w:val="none" w:sz="0" w:space="0" w:color="auto"/>
      </w:divBdr>
    </w:div>
    <w:div w:id="307251103">
      <w:bodyDiv w:val="1"/>
      <w:marLeft w:val="0"/>
      <w:marRight w:val="0"/>
      <w:marTop w:val="0"/>
      <w:marBottom w:val="0"/>
      <w:divBdr>
        <w:top w:val="none" w:sz="0" w:space="0" w:color="auto"/>
        <w:left w:val="none" w:sz="0" w:space="0" w:color="auto"/>
        <w:bottom w:val="none" w:sz="0" w:space="0" w:color="auto"/>
        <w:right w:val="none" w:sz="0" w:space="0" w:color="auto"/>
      </w:divBdr>
    </w:div>
    <w:div w:id="315845012">
      <w:bodyDiv w:val="1"/>
      <w:marLeft w:val="0"/>
      <w:marRight w:val="0"/>
      <w:marTop w:val="0"/>
      <w:marBottom w:val="0"/>
      <w:divBdr>
        <w:top w:val="none" w:sz="0" w:space="0" w:color="auto"/>
        <w:left w:val="none" w:sz="0" w:space="0" w:color="auto"/>
        <w:bottom w:val="none" w:sz="0" w:space="0" w:color="auto"/>
        <w:right w:val="none" w:sz="0" w:space="0" w:color="auto"/>
      </w:divBdr>
    </w:div>
    <w:div w:id="319234683">
      <w:bodyDiv w:val="1"/>
      <w:marLeft w:val="0"/>
      <w:marRight w:val="0"/>
      <w:marTop w:val="0"/>
      <w:marBottom w:val="0"/>
      <w:divBdr>
        <w:top w:val="none" w:sz="0" w:space="0" w:color="auto"/>
        <w:left w:val="none" w:sz="0" w:space="0" w:color="auto"/>
        <w:bottom w:val="none" w:sz="0" w:space="0" w:color="auto"/>
        <w:right w:val="none" w:sz="0" w:space="0" w:color="auto"/>
      </w:divBdr>
    </w:div>
    <w:div w:id="322468841">
      <w:bodyDiv w:val="1"/>
      <w:marLeft w:val="0"/>
      <w:marRight w:val="0"/>
      <w:marTop w:val="0"/>
      <w:marBottom w:val="0"/>
      <w:divBdr>
        <w:top w:val="none" w:sz="0" w:space="0" w:color="auto"/>
        <w:left w:val="none" w:sz="0" w:space="0" w:color="auto"/>
        <w:bottom w:val="none" w:sz="0" w:space="0" w:color="auto"/>
        <w:right w:val="none" w:sz="0" w:space="0" w:color="auto"/>
      </w:divBdr>
    </w:div>
    <w:div w:id="325398844">
      <w:bodyDiv w:val="1"/>
      <w:marLeft w:val="0"/>
      <w:marRight w:val="0"/>
      <w:marTop w:val="0"/>
      <w:marBottom w:val="0"/>
      <w:divBdr>
        <w:top w:val="none" w:sz="0" w:space="0" w:color="auto"/>
        <w:left w:val="none" w:sz="0" w:space="0" w:color="auto"/>
        <w:bottom w:val="none" w:sz="0" w:space="0" w:color="auto"/>
        <w:right w:val="none" w:sz="0" w:space="0" w:color="auto"/>
      </w:divBdr>
    </w:div>
    <w:div w:id="328680275">
      <w:bodyDiv w:val="1"/>
      <w:marLeft w:val="0"/>
      <w:marRight w:val="0"/>
      <w:marTop w:val="0"/>
      <w:marBottom w:val="0"/>
      <w:divBdr>
        <w:top w:val="none" w:sz="0" w:space="0" w:color="auto"/>
        <w:left w:val="none" w:sz="0" w:space="0" w:color="auto"/>
        <w:bottom w:val="none" w:sz="0" w:space="0" w:color="auto"/>
        <w:right w:val="none" w:sz="0" w:space="0" w:color="auto"/>
      </w:divBdr>
    </w:div>
    <w:div w:id="336352916">
      <w:bodyDiv w:val="1"/>
      <w:marLeft w:val="0"/>
      <w:marRight w:val="0"/>
      <w:marTop w:val="0"/>
      <w:marBottom w:val="0"/>
      <w:divBdr>
        <w:top w:val="none" w:sz="0" w:space="0" w:color="auto"/>
        <w:left w:val="none" w:sz="0" w:space="0" w:color="auto"/>
        <w:bottom w:val="none" w:sz="0" w:space="0" w:color="auto"/>
        <w:right w:val="none" w:sz="0" w:space="0" w:color="auto"/>
      </w:divBdr>
    </w:div>
    <w:div w:id="360520786">
      <w:bodyDiv w:val="1"/>
      <w:marLeft w:val="0"/>
      <w:marRight w:val="0"/>
      <w:marTop w:val="0"/>
      <w:marBottom w:val="0"/>
      <w:divBdr>
        <w:top w:val="none" w:sz="0" w:space="0" w:color="auto"/>
        <w:left w:val="none" w:sz="0" w:space="0" w:color="auto"/>
        <w:bottom w:val="none" w:sz="0" w:space="0" w:color="auto"/>
        <w:right w:val="none" w:sz="0" w:space="0" w:color="auto"/>
      </w:divBdr>
    </w:div>
    <w:div w:id="370958066">
      <w:bodyDiv w:val="1"/>
      <w:marLeft w:val="0"/>
      <w:marRight w:val="0"/>
      <w:marTop w:val="0"/>
      <w:marBottom w:val="0"/>
      <w:divBdr>
        <w:top w:val="none" w:sz="0" w:space="0" w:color="auto"/>
        <w:left w:val="none" w:sz="0" w:space="0" w:color="auto"/>
        <w:bottom w:val="none" w:sz="0" w:space="0" w:color="auto"/>
        <w:right w:val="none" w:sz="0" w:space="0" w:color="auto"/>
      </w:divBdr>
    </w:div>
    <w:div w:id="382561616">
      <w:bodyDiv w:val="1"/>
      <w:marLeft w:val="0"/>
      <w:marRight w:val="0"/>
      <w:marTop w:val="0"/>
      <w:marBottom w:val="0"/>
      <w:divBdr>
        <w:top w:val="none" w:sz="0" w:space="0" w:color="auto"/>
        <w:left w:val="none" w:sz="0" w:space="0" w:color="auto"/>
        <w:bottom w:val="none" w:sz="0" w:space="0" w:color="auto"/>
        <w:right w:val="none" w:sz="0" w:space="0" w:color="auto"/>
      </w:divBdr>
    </w:div>
    <w:div w:id="385882092">
      <w:bodyDiv w:val="1"/>
      <w:marLeft w:val="0"/>
      <w:marRight w:val="0"/>
      <w:marTop w:val="0"/>
      <w:marBottom w:val="0"/>
      <w:divBdr>
        <w:top w:val="none" w:sz="0" w:space="0" w:color="auto"/>
        <w:left w:val="none" w:sz="0" w:space="0" w:color="auto"/>
        <w:bottom w:val="none" w:sz="0" w:space="0" w:color="auto"/>
        <w:right w:val="none" w:sz="0" w:space="0" w:color="auto"/>
      </w:divBdr>
    </w:div>
    <w:div w:id="388187598">
      <w:bodyDiv w:val="1"/>
      <w:marLeft w:val="0"/>
      <w:marRight w:val="0"/>
      <w:marTop w:val="0"/>
      <w:marBottom w:val="0"/>
      <w:divBdr>
        <w:top w:val="none" w:sz="0" w:space="0" w:color="auto"/>
        <w:left w:val="none" w:sz="0" w:space="0" w:color="auto"/>
        <w:bottom w:val="none" w:sz="0" w:space="0" w:color="auto"/>
        <w:right w:val="none" w:sz="0" w:space="0" w:color="auto"/>
      </w:divBdr>
    </w:div>
    <w:div w:id="421030955">
      <w:bodyDiv w:val="1"/>
      <w:marLeft w:val="0"/>
      <w:marRight w:val="0"/>
      <w:marTop w:val="0"/>
      <w:marBottom w:val="0"/>
      <w:divBdr>
        <w:top w:val="none" w:sz="0" w:space="0" w:color="auto"/>
        <w:left w:val="none" w:sz="0" w:space="0" w:color="auto"/>
        <w:bottom w:val="none" w:sz="0" w:space="0" w:color="auto"/>
        <w:right w:val="none" w:sz="0" w:space="0" w:color="auto"/>
      </w:divBdr>
    </w:div>
    <w:div w:id="426735160">
      <w:bodyDiv w:val="1"/>
      <w:marLeft w:val="0"/>
      <w:marRight w:val="0"/>
      <w:marTop w:val="0"/>
      <w:marBottom w:val="0"/>
      <w:divBdr>
        <w:top w:val="none" w:sz="0" w:space="0" w:color="auto"/>
        <w:left w:val="none" w:sz="0" w:space="0" w:color="auto"/>
        <w:bottom w:val="none" w:sz="0" w:space="0" w:color="auto"/>
        <w:right w:val="none" w:sz="0" w:space="0" w:color="auto"/>
      </w:divBdr>
    </w:div>
    <w:div w:id="444928734">
      <w:bodyDiv w:val="1"/>
      <w:marLeft w:val="0"/>
      <w:marRight w:val="0"/>
      <w:marTop w:val="0"/>
      <w:marBottom w:val="0"/>
      <w:divBdr>
        <w:top w:val="none" w:sz="0" w:space="0" w:color="auto"/>
        <w:left w:val="none" w:sz="0" w:space="0" w:color="auto"/>
        <w:bottom w:val="none" w:sz="0" w:space="0" w:color="auto"/>
        <w:right w:val="none" w:sz="0" w:space="0" w:color="auto"/>
      </w:divBdr>
    </w:div>
    <w:div w:id="461308882">
      <w:bodyDiv w:val="1"/>
      <w:marLeft w:val="0"/>
      <w:marRight w:val="0"/>
      <w:marTop w:val="0"/>
      <w:marBottom w:val="0"/>
      <w:divBdr>
        <w:top w:val="none" w:sz="0" w:space="0" w:color="auto"/>
        <w:left w:val="none" w:sz="0" w:space="0" w:color="auto"/>
        <w:bottom w:val="none" w:sz="0" w:space="0" w:color="auto"/>
        <w:right w:val="none" w:sz="0" w:space="0" w:color="auto"/>
      </w:divBdr>
    </w:div>
    <w:div w:id="495607217">
      <w:bodyDiv w:val="1"/>
      <w:marLeft w:val="0"/>
      <w:marRight w:val="0"/>
      <w:marTop w:val="0"/>
      <w:marBottom w:val="0"/>
      <w:divBdr>
        <w:top w:val="none" w:sz="0" w:space="0" w:color="auto"/>
        <w:left w:val="none" w:sz="0" w:space="0" w:color="auto"/>
        <w:bottom w:val="none" w:sz="0" w:space="0" w:color="auto"/>
        <w:right w:val="none" w:sz="0" w:space="0" w:color="auto"/>
      </w:divBdr>
    </w:div>
    <w:div w:id="495657475">
      <w:bodyDiv w:val="1"/>
      <w:marLeft w:val="0"/>
      <w:marRight w:val="0"/>
      <w:marTop w:val="0"/>
      <w:marBottom w:val="0"/>
      <w:divBdr>
        <w:top w:val="none" w:sz="0" w:space="0" w:color="auto"/>
        <w:left w:val="none" w:sz="0" w:space="0" w:color="auto"/>
        <w:bottom w:val="none" w:sz="0" w:space="0" w:color="auto"/>
        <w:right w:val="none" w:sz="0" w:space="0" w:color="auto"/>
      </w:divBdr>
    </w:div>
    <w:div w:id="506751989">
      <w:bodyDiv w:val="1"/>
      <w:marLeft w:val="0"/>
      <w:marRight w:val="0"/>
      <w:marTop w:val="0"/>
      <w:marBottom w:val="0"/>
      <w:divBdr>
        <w:top w:val="none" w:sz="0" w:space="0" w:color="auto"/>
        <w:left w:val="none" w:sz="0" w:space="0" w:color="auto"/>
        <w:bottom w:val="none" w:sz="0" w:space="0" w:color="auto"/>
        <w:right w:val="none" w:sz="0" w:space="0" w:color="auto"/>
      </w:divBdr>
    </w:div>
    <w:div w:id="545873551">
      <w:bodyDiv w:val="1"/>
      <w:marLeft w:val="0"/>
      <w:marRight w:val="0"/>
      <w:marTop w:val="0"/>
      <w:marBottom w:val="0"/>
      <w:divBdr>
        <w:top w:val="none" w:sz="0" w:space="0" w:color="auto"/>
        <w:left w:val="none" w:sz="0" w:space="0" w:color="auto"/>
        <w:bottom w:val="none" w:sz="0" w:space="0" w:color="auto"/>
        <w:right w:val="none" w:sz="0" w:space="0" w:color="auto"/>
      </w:divBdr>
    </w:div>
    <w:div w:id="548105570">
      <w:bodyDiv w:val="1"/>
      <w:marLeft w:val="0"/>
      <w:marRight w:val="0"/>
      <w:marTop w:val="0"/>
      <w:marBottom w:val="0"/>
      <w:divBdr>
        <w:top w:val="none" w:sz="0" w:space="0" w:color="auto"/>
        <w:left w:val="none" w:sz="0" w:space="0" w:color="auto"/>
        <w:bottom w:val="none" w:sz="0" w:space="0" w:color="auto"/>
        <w:right w:val="none" w:sz="0" w:space="0" w:color="auto"/>
      </w:divBdr>
    </w:div>
    <w:div w:id="567811810">
      <w:bodyDiv w:val="1"/>
      <w:marLeft w:val="0"/>
      <w:marRight w:val="0"/>
      <w:marTop w:val="0"/>
      <w:marBottom w:val="0"/>
      <w:divBdr>
        <w:top w:val="none" w:sz="0" w:space="0" w:color="auto"/>
        <w:left w:val="none" w:sz="0" w:space="0" w:color="auto"/>
        <w:bottom w:val="none" w:sz="0" w:space="0" w:color="auto"/>
        <w:right w:val="none" w:sz="0" w:space="0" w:color="auto"/>
      </w:divBdr>
    </w:div>
    <w:div w:id="611715046">
      <w:bodyDiv w:val="1"/>
      <w:marLeft w:val="0"/>
      <w:marRight w:val="0"/>
      <w:marTop w:val="0"/>
      <w:marBottom w:val="0"/>
      <w:divBdr>
        <w:top w:val="none" w:sz="0" w:space="0" w:color="auto"/>
        <w:left w:val="none" w:sz="0" w:space="0" w:color="auto"/>
        <w:bottom w:val="none" w:sz="0" w:space="0" w:color="auto"/>
        <w:right w:val="none" w:sz="0" w:space="0" w:color="auto"/>
      </w:divBdr>
    </w:div>
    <w:div w:id="614138977">
      <w:bodyDiv w:val="1"/>
      <w:marLeft w:val="0"/>
      <w:marRight w:val="0"/>
      <w:marTop w:val="0"/>
      <w:marBottom w:val="0"/>
      <w:divBdr>
        <w:top w:val="none" w:sz="0" w:space="0" w:color="auto"/>
        <w:left w:val="none" w:sz="0" w:space="0" w:color="auto"/>
        <w:bottom w:val="none" w:sz="0" w:space="0" w:color="auto"/>
        <w:right w:val="none" w:sz="0" w:space="0" w:color="auto"/>
      </w:divBdr>
    </w:div>
    <w:div w:id="643897193">
      <w:bodyDiv w:val="1"/>
      <w:marLeft w:val="0"/>
      <w:marRight w:val="0"/>
      <w:marTop w:val="0"/>
      <w:marBottom w:val="0"/>
      <w:divBdr>
        <w:top w:val="none" w:sz="0" w:space="0" w:color="auto"/>
        <w:left w:val="none" w:sz="0" w:space="0" w:color="auto"/>
        <w:bottom w:val="none" w:sz="0" w:space="0" w:color="auto"/>
        <w:right w:val="none" w:sz="0" w:space="0" w:color="auto"/>
      </w:divBdr>
    </w:div>
    <w:div w:id="659968666">
      <w:bodyDiv w:val="1"/>
      <w:marLeft w:val="0"/>
      <w:marRight w:val="0"/>
      <w:marTop w:val="0"/>
      <w:marBottom w:val="0"/>
      <w:divBdr>
        <w:top w:val="none" w:sz="0" w:space="0" w:color="auto"/>
        <w:left w:val="none" w:sz="0" w:space="0" w:color="auto"/>
        <w:bottom w:val="none" w:sz="0" w:space="0" w:color="auto"/>
        <w:right w:val="none" w:sz="0" w:space="0" w:color="auto"/>
      </w:divBdr>
    </w:div>
    <w:div w:id="661008171">
      <w:bodyDiv w:val="1"/>
      <w:marLeft w:val="0"/>
      <w:marRight w:val="0"/>
      <w:marTop w:val="0"/>
      <w:marBottom w:val="0"/>
      <w:divBdr>
        <w:top w:val="none" w:sz="0" w:space="0" w:color="auto"/>
        <w:left w:val="none" w:sz="0" w:space="0" w:color="auto"/>
        <w:bottom w:val="none" w:sz="0" w:space="0" w:color="auto"/>
        <w:right w:val="none" w:sz="0" w:space="0" w:color="auto"/>
      </w:divBdr>
    </w:div>
    <w:div w:id="684795123">
      <w:bodyDiv w:val="1"/>
      <w:marLeft w:val="0"/>
      <w:marRight w:val="0"/>
      <w:marTop w:val="0"/>
      <w:marBottom w:val="0"/>
      <w:divBdr>
        <w:top w:val="none" w:sz="0" w:space="0" w:color="auto"/>
        <w:left w:val="none" w:sz="0" w:space="0" w:color="auto"/>
        <w:bottom w:val="none" w:sz="0" w:space="0" w:color="auto"/>
        <w:right w:val="none" w:sz="0" w:space="0" w:color="auto"/>
      </w:divBdr>
    </w:div>
    <w:div w:id="769394837">
      <w:bodyDiv w:val="1"/>
      <w:marLeft w:val="0"/>
      <w:marRight w:val="0"/>
      <w:marTop w:val="0"/>
      <w:marBottom w:val="0"/>
      <w:divBdr>
        <w:top w:val="none" w:sz="0" w:space="0" w:color="auto"/>
        <w:left w:val="none" w:sz="0" w:space="0" w:color="auto"/>
        <w:bottom w:val="none" w:sz="0" w:space="0" w:color="auto"/>
        <w:right w:val="none" w:sz="0" w:space="0" w:color="auto"/>
      </w:divBdr>
    </w:div>
    <w:div w:id="772434380">
      <w:bodyDiv w:val="1"/>
      <w:marLeft w:val="0"/>
      <w:marRight w:val="0"/>
      <w:marTop w:val="0"/>
      <w:marBottom w:val="0"/>
      <w:divBdr>
        <w:top w:val="none" w:sz="0" w:space="0" w:color="auto"/>
        <w:left w:val="none" w:sz="0" w:space="0" w:color="auto"/>
        <w:bottom w:val="none" w:sz="0" w:space="0" w:color="auto"/>
        <w:right w:val="none" w:sz="0" w:space="0" w:color="auto"/>
      </w:divBdr>
    </w:div>
    <w:div w:id="787503211">
      <w:bodyDiv w:val="1"/>
      <w:marLeft w:val="0"/>
      <w:marRight w:val="0"/>
      <w:marTop w:val="0"/>
      <w:marBottom w:val="0"/>
      <w:divBdr>
        <w:top w:val="none" w:sz="0" w:space="0" w:color="auto"/>
        <w:left w:val="none" w:sz="0" w:space="0" w:color="auto"/>
        <w:bottom w:val="none" w:sz="0" w:space="0" w:color="auto"/>
        <w:right w:val="none" w:sz="0" w:space="0" w:color="auto"/>
      </w:divBdr>
    </w:div>
    <w:div w:id="824979482">
      <w:bodyDiv w:val="1"/>
      <w:marLeft w:val="0"/>
      <w:marRight w:val="0"/>
      <w:marTop w:val="0"/>
      <w:marBottom w:val="0"/>
      <w:divBdr>
        <w:top w:val="none" w:sz="0" w:space="0" w:color="auto"/>
        <w:left w:val="none" w:sz="0" w:space="0" w:color="auto"/>
        <w:bottom w:val="none" w:sz="0" w:space="0" w:color="auto"/>
        <w:right w:val="none" w:sz="0" w:space="0" w:color="auto"/>
      </w:divBdr>
    </w:div>
    <w:div w:id="830098076">
      <w:bodyDiv w:val="1"/>
      <w:marLeft w:val="0"/>
      <w:marRight w:val="0"/>
      <w:marTop w:val="0"/>
      <w:marBottom w:val="0"/>
      <w:divBdr>
        <w:top w:val="none" w:sz="0" w:space="0" w:color="auto"/>
        <w:left w:val="none" w:sz="0" w:space="0" w:color="auto"/>
        <w:bottom w:val="none" w:sz="0" w:space="0" w:color="auto"/>
        <w:right w:val="none" w:sz="0" w:space="0" w:color="auto"/>
      </w:divBdr>
    </w:div>
    <w:div w:id="853691315">
      <w:bodyDiv w:val="1"/>
      <w:marLeft w:val="0"/>
      <w:marRight w:val="0"/>
      <w:marTop w:val="0"/>
      <w:marBottom w:val="0"/>
      <w:divBdr>
        <w:top w:val="none" w:sz="0" w:space="0" w:color="auto"/>
        <w:left w:val="none" w:sz="0" w:space="0" w:color="auto"/>
        <w:bottom w:val="none" w:sz="0" w:space="0" w:color="auto"/>
        <w:right w:val="none" w:sz="0" w:space="0" w:color="auto"/>
      </w:divBdr>
    </w:div>
    <w:div w:id="858473199">
      <w:bodyDiv w:val="1"/>
      <w:marLeft w:val="0"/>
      <w:marRight w:val="0"/>
      <w:marTop w:val="0"/>
      <w:marBottom w:val="0"/>
      <w:divBdr>
        <w:top w:val="none" w:sz="0" w:space="0" w:color="auto"/>
        <w:left w:val="none" w:sz="0" w:space="0" w:color="auto"/>
        <w:bottom w:val="none" w:sz="0" w:space="0" w:color="auto"/>
        <w:right w:val="none" w:sz="0" w:space="0" w:color="auto"/>
      </w:divBdr>
    </w:div>
    <w:div w:id="865679957">
      <w:bodyDiv w:val="1"/>
      <w:marLeft w:val="0"/>
      <w:marRight w:val="0"/>
      <w:marTop w:val="0"/>
      <w:marBottom w:val="0"/>
      <w:divBdr>
        <w:top w:val="none" w:sz="0" w:space="0" w:color="auto"/>
        <w:left w:val="none" w:sz="0" w:space="0" w:color="auto"/>
        <w:bottom w:val="none" w:sz="0" w:space="0" w:color="auto"/>
        <w:right w:val="none" w:sz="0" w:space="0" w:color="auto"/>
      </w:divBdr>
    </w:div>
    <w:div w:id="866451873">
      <w:bodyDiv w:val="1"/>
      <w:marLeft w:val="0"/>
      <w:marRight w:val="0"/>
      <w:marTop w:val="0"/>
      <w:marBottom w:val="0"/>
      <w:divBdr>
        <w:top w:val="none" w:sz="0" w:space="0" w:color="auto"/>
        <w:left w:val="none" w:sz="0" w:space="0" w:color="auto"/>
        <w:bottom w:val="none" w:sz="0" w:space="0" w:color="auto"/>
        <w:right w:val="none" w:sz="0" w:space="0" w:color="auto"/>
      </w:divBdr>
    </w:div>
    <w:div w:id="895824994">
      <w:bodyDiv w:val="1"/>
      <w:marLeft w:val="0"/>
      <w:marRight w:val="0"/>
      <w:marTop w:val="0"/>
      <w:marBottom w:val="0"/>
      <w:divBdr>
        <w:top w:val="none" w:sz="0" w:space="0" w:color="auto"/>
        <w:left w:val="none" w:sz="0" w:space="0" w:color="auto"/>
        <w:bottom w:val="none" w:sz="0" w:space="0" w:color="auto"/>
        <w:right w:val="none" w:sz="0" w:space="0" w:color="auto"/>
      </w:divBdr>
    </w:div>
    <w:div w:id="922643999">
      <w:bodyDiv w:val="1"/>
      <w:marLeft w:val="0"/>
      <w:marRight w:val="0"/>
      <w:marTop w:val="0"/>
      <w:marBottom w:val="0"/>
      <w:divBdr>
        <w:top w:val="none" w:sz="0" w:space="0" w:color="auto"/>
        <w:left w:val="none" w:sz="0" w:space="0" w:color="auto"/>
        <w:bottom w:val="none" w:sz="0" w:space="0" w:color="auto"/>
        <w:right w:val="none" w:sz="0" w:space="0" w:color="auto"/>
      </w:divBdr>
    </w:div>
    <w:div w:id="934090444">
      <w:bodyDiv w:val="1"/>
      <w:marLeft w:val="0"/>
      <w:marRight w:val="0"/>
      <w:marTop w:val="0"/>
      <w:marBottom w:val="0"/>
      <w:divBdr>
        <w:top w:val="none" w:sz="0" w:space="0" w:color="auto"/>
        <w:left w:val="none" w:sz="0" w:space="0" w:color="auto"/>
        <w:bottom w:val="none" w:sz="0" w:space="0" w:color="auto"/>
        <w:right w:val="none" w:sz="0" w:space="0" w:color="auto"/>
      </w:divBdr>
    </w:div>
    <w:div w:id="961808130">
      <w:bodyDiv w:val="1"/>
      <w:marLeft w:val="0"/>
      <w:marRight w:val="0"/>
      <w:marTop w:val="0"/>
      <w:marBottom w:val="0"/>
      <w:divBdr>
        <w:top w:val="none" w:sz="0" w:space="0" w:color="auto"/>
        <w:left w:val="none" w:sz="0" w:space="0" w:color="auto"/>
        <w:bottom w:val="none" w:sz="0" w:space="0" w:color="auto"/>
        <w:right w:val="none" w:sz="0" w:space="0" w:color="auto"/>
      </w:divBdr>
    </w:div>
    <w:div w:id="989018185">
      <w:bodyDiv w:val="1"/>
      <w:marLeft w:val="0"/>
      <w:marRight w:val="0"/>
      <w:marTop w:val="0"/>
      <w:marBottom w:val="0"/>
      <w:divBdr>
        <w:top w:val="none" w:sz="0" w:space="0" w:color="auto"/>
        <w:left w:val="none" w:sz="0" w:space="0" w:color="auto"/>
        <w:bottom w:val="none" w:sz="0" w:space="0" w:color="auto"/>
        <w:right w:val="none" w:sz="0" w:space="0" w:color="auto"/>
      </w:divBdr>
    </w:div>
    <w:div w:id="1000623875">
      <w:bodyDiv w:val="1"/>
      <w:marLeft w:val="0"/>
      <w:marRight w:val="0"/>
      <w:marTop w:val="0"/>
      <w:marBottom w:val="0"/>
      <w:divBdr>
        <w:top w:val="none" w:sz="0" w:space="0" w:color="auto"/>
        <w:left w:val="none" w:sz="0" w:space="0" w:color="auto"/>
        <w:bottom w:val="none" w:sz="0" w:space="0" w:color="auto"/>
        <w:right w:val="none" w:sz="0" w:space="0" w:color="auto"/>
      </w:divBdr>
    </w:div>
    <w:div w:id="1060251315">
      <w:bodyDiv w:val="1"/>
      <w:marLeft w:val="0"/>
      <w:marRight w:val="0"/>
      <w:marTop w:val="0"/>
      <w:marBottom w:val="0"/>
      <w:divBdr>
        <w:top w:val="none" w:sz="0" w:space="0" w:color="auto"/>
        <w:left w:val="none" w:sz="0" w:space="0" w:color="auto"/>
        <w:bottom w:val="none" w:sz="0" w:space="0" w:color="auto"/>
        <w:right w:val="none" w:sz="0" w:space="0" w:color="auto"/>
      </w:divBdr>
    </w:div>
    <w:div w:id="1070811219">
      <w:bodyDiv w:val="1"/>
      <w:marLeft w:val="0"/>
      <w:marRight w:val="0"/>
      <w:marTop w:val="0"/>
      <w:marBottom w:val="0"/>
      <w:divBdr>
        <w:top w:val="none" w:sz="0" w:space="0" w:color="auto"/>
        <w:left w:val="none" w:sz="0" w:space="0" w:color="auto"/>
        <w:bottom w:val="none" w:sz="0" w:space="0" w:color="auto"/>
        <w:right w:val="none" w:sz="0" w:space="0" w:color="auto"/>
      </w:divBdr>
    </w:div>
    <w:div w:id="1080101895">
      <w:bodyDiv w:val="1"/>
      <w:marLeft w:val="0"/>
      <w:marRight w:val="0"/>
      <w:marTop w:val="0"/>
      <w:marBottom w:val="0"/>
      <w:divBdr>
        <w:top w:val="none" w:sz="0" w:space="0" w:color="auto"/>
        <w:left w:val="none" w:sz="0" w:space="0" w:color="auto"/>
        <w:bottom w:val="none" w:sz="0" w:space="0" w:color="auto"/>
        <w:right w:val="none" w:sz="0" w:space="0" w:color="auto"/>
      </w:divBdr>
    </w:div>
    <w:div w:id="1095827739">
      <w:bodyDiv w:val="1"/>
      <w:marLeft w:val="0"/>
      <w:marRight w:val="0"/>
      <w:marTop w:val="0"/>
      <w:marBottom w:val="0"/>
      <w:divBdr>
        <w:top w:val="none" w:sz="0" w:space="0" w:color="auto"/>
        <w:left w:val="none" w:sz="0" w:space="0" w:color="auto"/>
        <w:bottom w:val="none" w:sz="0" w:space="0" w:color="auto"/>
        <w:right w:val="none" w:sz="0" w:space="0" w:color="auto"/>
      </w:divBdr>
    </w:div>
    <w:div w:id="1128207874">
      <w:bodyDiv w:val="1"/>
      <w:marLeft w:val="0"/>
      <w:marRight w:val="0"/>
      <w:marTop w:val="0"/>
      <w:marBottom w:val="0"/>
      <w:divBdr>
        <w:top w:val="none" w:sz="0" w:space="0" w:color="auto"/>
        <w:left w:val="none" w:sz="0" w:space="0" w:color="auto"/>
        <w:bottom w:val="none" w:sz="0" w:space="0" w:color="auto"/>
        <w:right w:val="none" w:sz="0" w:space="0" w:color="auto"/>
      </w:divBdr>
    </w:div>
    <w:div w:id="1130973751">
      <w:bodyDiv w:val="1"/>
      <w:marLeft w:val="0"/>
      <w:marRight w:val="0"/>
      <w:marTop w:val="0"/>
      <w:marBottom w:val="0"/>
      <w:divBdr>
        <w:top w:val="none" w:sz="0" w:space="0" w:color="auto"/>
        <w:left w:val="none" w:sz="0" w:space="0" w:color="auto"/>
        <w:bottom w:val="none" w:sz="0" w:space="0" w:color="auto"/>
        <w:right w:val="none" w:sz="0" w:space="0" w:color="auto"/>
      </w:divBdr>
    </w:div>
    <w:div w:id="1131636767">
      <w:bodyDiv w:val="1"/>
      <w:marLeft w:val="0"/>
      <w:marRight w:val="0"/>
      <w:marTop w:val="0"/>
      <w:marBottom w:val="0"/>
      <w:divBdr>
        <w:top w:val="none" w:sz="0" w:space="0" w:color="auto"/>
        <w:left w:val="none" w:sz="0" w:space="0" w:color="auto"/>
        <w:bottom w:val="none" w:sz="0" w:space="0" w:color="auto"/>
        <w:right w:val="none" w:sz="0" w:space="0" w:color="auto"/>
      </w:divBdr>
    </w:div>
    <w:div w:id="1157839254">
      <w:bodyDiv w:val="1"/>
      <w:marLeft w:val="0"/>
      <w:marRight w:val="0"/>
      <w:marTop w:val="0"/>
      <w:marBottom w:val="0"/>
      <w:divBdr>
        <w:top w:val="none" w:sz="0" w:space="0" w:color="auto"/>
        <w:left w:val="none" w:sz="0" w:space="0" w:color="auto"/>
        <w:bottom w:val="none" w:sz="0" w:space="0" w:color="auto"/>
        <w:right w:val="none" w:sz="0" w:space="0" w:color="auto"/>
      </w:divBdr>
    </w:div>
    <w:div w:id="1177420848">
      <w:bodyDiv w:val="1"/>
      <w:marLeft w:val="0"/>
      <w:marRight w:val="0"/>
      <w:marTop w:val="0"/>
      <w:marBottom w:val="0"/>
      <w:divBdr>
        <w:top w:val="none" w:sz="0" w:space="0" w:color="auto"/>
        <w:left w:val="none" w:sz="0" w:space="0" w:color="auto"/>
        <w:bottom w:val="none" w:sz="0" w:space="0" w:color="auto"/>
        <w:right w:val="none" w:sz="0" w:space="0" w:color="auto"/>
      </w:divBdr>
    </w:div>
    <w:div w:id="1193111388">
      <w:bodyDiv w:val="1"/>
      <w:marLeft w:val="0"/>
      <w:marRight w:val="0"/>
      <w:marTop w:val="0"/>
      <w:marBottom w:val="0"/>
      <w:divBdr>
        <w:top w:val="none" w:sz="0" w:space="0" w:color="auto"/>
        <w:left w:val="none" w:sz="0" w:space="0" w:color="auto"/>
        <w:bottom w:val="none" w:sz="0" w:space="0" w:color="auto"/>
        <w:right w:val="none" w:sz="0" w:space="0" w:color="auto"/>
      </w:divBdr>
    </w:div>
    <w:div w:id="1200510542">
      <w:bodyDiv w:val="1"/>
      <w:marLeft w:val="0"/>
      <w:marRight w:val="0"/>
      <w:marTop w:val="0"/>
      <w:marBottom w:val="0"/>
      <w:divBdr>
        <w:top w:val="none" w:sz="0" w:space="0" w:color="auto"/>
        <w:left w:val="none" w:sz="0" w:space="0" w:color="auto"/>
        <w:bottom w:val="none" w:sz="0" w:space="0" w:color="auto"/>
        <w:right w:val="none" w:sz="0" w:space="0" w:color="auto"/>
      </w:divBdr>
    </w:div>
    <w:div w:id="1200778595">
      <w:bodyDiv w:val="1"/>
      <w:marLeft w:val="0"/>
      <w:marRight w:val="0"/>
      <w:marTop w:val="0"/>
      <w:marBottom w:val="0"/>
      <w:divBdr>
        <w:top w:val="none" w:sz="0" w:space="0" w:color="auto"/>
        <w:left w:val="none" w:sz="0" w:space="0" w:color="auto"/>
        <w:bottom w:val="none" w:sz="0" w:space="0" w:color="auto"/>
        <w:right w:val="none" w:sz="0" w:space="0" w:color="auto"/>
      </w:divBdr>
    </w:div>
    <w:div w:id="1242762043">
      <w:bodyDiv w:val="1"/>
      <w:marLeft w:val="0"/>
      <w:marRight w:val="0"/>
      <w:marTop w:val="0"/>
      <w:marBottom w:val="0"/>
      <w:divBdr>
        <w:top w:val="none" w:sz="0" w:space="0" w:color="auto"/>
        <w:left w:val="none" w:sz="0" w:space="0" w:color="auto"/>
        <w:bottom w:val="none" w:sz="0" w:space="0" w:color="auto"/>
        <w:right w:val="none" w:sz="0" w:space="0" w:color="auto"/>
      </w:divBdr>
    </w:div>
    <w:div w:id="1246693544">
      <w:bodyDiv w:val="1"/>
      <w:marLeft w:val="0"/>
      <w:marRight w:val="0"/>
      <w:marTop w:val="0"/>
      <w:marBottom w:val="0"/>
      <w:divBdr>
        <w:top w:val="none" w:sz="0" w:space="0" w:color="auto"/>
        <w:left w:val="none" w:sz="0" w:space="0" w:color="auto"/>
        <w:bottom w:val="none" w:sz="0" w:space="0" w:color="auto"/>
        <w:right w:val="none" w:sz="0" w:space="0" w:color="auto"/>
      </w:divBdr>
    </w:div>
    <w:div w:id="1253314593">
      <w:bodyDiv w:val="1"/>
      <w:marLeft w:val="0"/>
      <w:marRight w:val="0"/>
      <w:marTop w:val="0"/>
      <w:marBottom w:val="0"/>
      <w:divBdr>
        <w:top w:val="none" w:sz="0" w:space="0" w:color="auto"/>
        <w:left w:val="none" w:sz="0" w:space="0" w:color="auto"/>
        <w:bottom w:val="none" w:sz="0" w:space="0" w:color="auto"/>
        <w:right w:val="none" w:sz="0" w:space="0" w:color="auto"/>
      </w:divBdr>
    </w:div>
    <w:div w:id="1271234493">
      <w:bodyDiv w:val="1"/>
      <w:marLeft w:val="0"/>
      <w:marRight w:val="0"/>
      <w:marTop w:val="0"/>
      <w:marBottom w:val="0"/>
      <w:divBdr>
        <w:top w:val="none" w:sz="0" w:space="0" w:color="auto"/>
        <w:left w:val="none" w:sz="0" w:space="0" w:color="auto"/>
        <w:bottom w:val="none" w:sz="0" w:space="0" w:color="auto"/>
        <w:right w:val="none" w:sz="0" w:space="0" w:color="auto"/>
      </w:divBdr>
    </w:div>
    <w:div w:id="1274944201">
      <w:bodyDiv w:val="1"/>
      <w:marLeft w:val="0"/>
      <w:marRight w:val="0"/>
      <w:marTop w:val="0"/>
      <w:marBottom w:val="0"/>
      <w:divBdr>
        <w:top w:val="none" w:sz="0" w:space="0" w:color="auto"/>
        <w:left w:val="none" w:sz="0" w:space="0" w:color="auto"/>
        <w:bottom w:val="none" w:sz="0" w:space="0" w:color="auto"/>
        <w:right w:val="none" w:sz="0" w:space="0" w:color="auto"/>
      </w:divBdr>
    </w:div>
    <w:div w:id="1286349606">
      <w:bodyDiv w:val="1"/>
      <w:marLeft w:val="0"/>
      <w:marRight w:val="0"/>
      <w:marTop w:val="0"/>
      <w:marBottom w:val="0"/>
      <w:divBdr>
        <w:top w:val="none" w:sz="0" w:space="0" w:color="auto"/>
        <w:left w:val="none" w:sz="0" w:space="0" w:color="auto"/>
        <w:bottom w:val="none" w:sz="0" w:space="0" w:color="auto"/>
        <w:right w:val="none" w:sz="0" w:space="0" w:color="auto"/>
      </w:divBdr>
    </w:div>
    <w:div w:id="1290211733">
      <w:bodyDiv w:val="1"/>
      <w:marLeft w:val="0"/>
      <w:marRight w:val="0"/>
      <w:marTop w:val="0"/>
      <w:marBottom w:val="0"/>
      <w:divBdr>
        <w:top w:val="none" w:sz="0" w:space="0" w:color="auto"/>
        <w:left w:val="none" w:sz="0" w:space="0" w:color="auto"/>
        <w:bottom w:val="none" w:sz="0" w:space="0" w:color="auto"/>
        <w:right w:val="none" w:sz="0" w:space="0" w:color="auto"/>
      </w:divBdr>
    </w:div>
    <w:div w:id="1295795925">
      <w:bodyDiv w:val="1"/>
      <w:marLeft w:val="0"/>
      <w:marRight w:val="0"/>
      <w:marTop w:val="0"/>
      <w:marBottom w:val="0"/>
      <w:divBdr>
        <w:top w:val="none" w:sz="0" w:space="0" w:color="auto"/>
        <w:left w:val="none" w:sz="0" w:space="0" w:color="auto"/>
        <w:bottom w:val="none" w:sz="0" w:space="0" w:color="auto"/>
        <w:right w:val="none" w:sz="0" w:space="0" w:color="auto"/>
      </w:divBdr>
    </w:div>
    <w:div w:id="1305505975">
      <w:bodyDiv w:val="1"/>
      <w:marLeft w:val="0"/>
      <w:marRight w:val="0"/>
      <w:marTop w:val="0"/>
      <w:marBottom w:val="0"/>
      <w:divBdr>
        <w:top w:val="none" w:sz="0" w:space="0" w:color="auto"/>
        <w:left w:val="none" w:sz="0" w:space="0" w:color="auto"/>
        <w:bottom w:val="none" w:sz="0" w:space="0" w:color="auto"/>
        <w:right w:val="none" w:sz="0" w:space="0" w:color="auto"/>
      </w:divBdr>
    </w:div>
    <w:div w:id="1306466979">
      <w:bodyDiv w:val="1"/>
      <w:marLeft w:val="0"/>
      <w:marRight w:val="0"/>
      <w:marTop w:val="0"/>
      <w:marBottom w:val="0"/>
      <w:divBdr>
        <w:top w:val="none" w:sz="0" w:space="0" w:color="auto"/>
        <w:left w:val="none" w:sz="0" w:space="0" w:color="auto"/>
        <w:bottom w:val="none" w:sz="0" w:space="0" w:color="auto"/>
        <w:right w:val="none" w:sz="0" w:space="0" w:color="auto"/>
      </w:divBdr>
    </w:div>
    <w:div w:id="1316955641">
      <w:bodyDiv w:val="1"/>
      <w:marLeft w:val="0"/>
      <w:marRight w:val="0"/>
      <w:marTop w:val="0"/>
      <w:marBottom w:val="0"/>
      <w:divBdr>
        <w:top w:val="none" w:sz="0" w:space="0" w:color="auto"/>
        <w:left w:val="none" w:sz="0" w:space="0" w:color="auto"/>
        <w:bottom w:val="none" w:sz="0" w:space="0" w:color="auto"/>
        <w:right w:val="none" w:sz="0" w:space="0" w:color="auto"/>
      </w:divBdr>
    </w:div>
    <w:div w:id="1332413078">
      <w:bodyDiv w:val="1"/>
      <w:marLeft w:val="0"/>
      <w:marRight w:val="0"/>
      <w:marTop w:val="0"/>
      <w:marBottom w:val="0"/>
      <w:divBdr>
        <w:top w:val="none" w:sz="0" w:space="0" w:color="auto"/>
        <w:left w:val="none" w:sz="0" w:space="0" w:color="auto"/>
        <w:bottom w:val="none" w:sz="0" w:space="0" w:color="auto"/>
        <w:right w:val="none" w:sz="0" w:space="0" w:color="auto"/>
      </w:divBdr>
    </w:div>
    <w:div w:id="1341470106">
      <w:bodyDiv w:val="1"/>
      <w:marLeft w:val="0"/>
      <w:marRight w:val="0"/>
      <w:marTop w:val="0"/>
      <w:marBottom w:val="0"/>
      <w:divBdr>
        <w:top w:val="none" w:sz="0" w:space="0" w:color="auto"/>
        <w:left w:val="none" w:sz="0" w:space="0" w:color="auto"/>
        <w:bottom w:val="none" w:sz="0" w:space="0" w:color="auto"/>
        <w:right w:val="none" w:sz="0" w:space="0" w:color="auto"/>
      </w:divBdr>
    </w:div>
    <w:div w:id="1350066087">
      <w:bodyDiv w:val="1"/>
      <w:marLeft w:val="0"/>
      <w:marRight w:val="0"/>
      <w:marTop w:val="0"/>
      <w:marBottom w:val="0"/>
      <w:divBdr>
        <w:top w:val="none" w:sz="0" w:space="0" w:color="auto"/>
        <w:left w:val="none" w:sz="0" w:space="0" w:color="auto"/>
        <w:bottom w:val="none" w:sz="0" w:space="0" w:color="auto"/>
        <w:right w:val="none" w:sz="0" w:space="0" w:color="auto"/>
      </w:divBdr>
    </w:div>
    <w:div w:id="1366251531">
      <w:bodyDiv w:val="1"/>
      <w:marLeft w:val="0"/>
      <w:marRight w:val="0"/>
      <w:marTop w:val="0"/>
      <w:marBottom w:val="0"/>
      <w:divBdr>
        <w:top w:val="none" w:sz="0" w:space="0" w:color="auto"/>
        <w:left w:val="none" w:sz="0" w:space="0" w:color="auto"/>
        <w:bottom w:val="none" w:sz="0" w:space="0" w:color="auto"/>
        <w:right w:val="none" w:sz="0" w:space="0" w:color="auto"/>
      </w:divBdr>
    </w:div>
    <w:div w:id="1371997795">
      <w:bodyDiv w:val="1"/>
      <w:marLeft w:val="0"/>
      <w:marRight w:val="0"/>
      <w:marTop w:val="0"/>
      <w:marBottom w:val="0"/>
      <w:divBdr>
        <w:top w:val="none" w:sz="0" w:space="0" w:color="auto"/>
        <w:left w:val="none" w:sz="0" w:space="0" w:color="auto"/>
        <w:bottom w:val="none" w:sz="0" w:space="0" w:color="auto"/>
        <w:right w:val="none" w:sz="0" w:space="0" w:color="auto"/>
      </w:divBdr>
    </w:div>
    <w:div w:id="1382755066">
      <w:bodyDiv w:val="1"/>
      <w:marLeft w:val="0"/>
      <w:marRight w:val="0"/>
      <w:marTop w:val="0"/>
      <w:marBottom w:val="0"/>
      <w:divBdr>
        <w:top w:val="none" w:sz="0" w:space="0" w:color="auto"/>
        <w:left w:val="none" w:sz="0" w:space="0" w:color="auto"/>
        <w:bottom w:val="none" w:sz="0" w:space="0" w:color="auto"/>
        <w:right w:val="none" w:sz="0" w:space="0" w:color="auto"/>
      </w:divBdr>
    </w:div>
    <w:div w:id="1392927288">
      <w:bodyDiv w:val="1"/>
      <w:marLeft w:val="0"/>
      <w:marRight w:val="0"/>
      <w:marTop w:val="0"/>
      <w:marBottom w:val="0"/>
      <w:divBdr>
        <w:top w:val="none" w:sz="0" w:space="0" w:color="auto"/>
        <w:left w:val="none" w:sz="0" w:space="0" w:color="auto"/>
        <w:bottom w:val="none" w:sz="0" w:space="0" w:color="auto"/>
        <w:right w:val="none" w:sz="0" w:space="0" w:color="auto"/>
      </w:divBdr>
    </w:div>
    <w:div w:id="1447312428">
      <w:bodyDiv w:val="1"/>
      <w:marLeft w:val="0"/>
      <w:marRight w:val="0"/>
      <w:marTop w:val="0"/>
      <w:marBottom w:val="0"/>
      <w:divBdr>
        <w:top w:val="none" w:sz="0" w:space="0" w:color="auto"/>
        <w:left w:val="none" w:sz="0" w:space="0" w:color="auto"/>
        <w:bottom w:val="none" w:sz="0" w:space="0" w:color="auto"/>
        <w:right w:val="none" w:sz="0" w:space="0" w:color="auto"/>
      </w:divBdr>
    </w:div>
    <w:div w:id="1448967175">
      <w:bodyDiv w:val="1"/>
      <w:marLeft w:val="0"/>
      <w:marRight w:val="0"/>
      <w:marTop w:val="0"/>
      <w:marBottom w:val="0"/>
      <w:divBdr>
        <w:top w:val="none" w:sz="0" w:space="0" w:color="auto"/>
        <w:left w:val="none" w:sz="0" w:space="0" w:color="auto"/>
        <w:bottom w:val="none" w:sz="0" w:space="0" w:color="auto"/>
        <w:right w:val="none" w:sz="0" w:space="0" w:color="auto"/>
      </w:divBdr>
    </w:div>
    <w:div w:id="1462265758">
      <w:bodyDiv w:val="1"/>
      <w:marLeft w:val="0"/>
      <w:marRight w:val="0"/>
      <w:marTop w:val="0"/>
      <w:marBottom w:val="0"/>
      <w:divBdr>
        <w:top w:val="none" w:sz="0" w:space="0" w:color="auto"/>
        <w:left w:val="none" w:sz="0" w:space="0" w:color="auto"/>
        <w:bottom w:val="none" w:sz="0" w:space="0" w:color="auto"/>
        <w:right w:val="none" w:sz="0" w:space="0" w:color="auto"/>
      </w:divBdr>
    </w:div>
    <w:div w:id="1466000815">
      <w:bodyDiv w:val="1"/>
      <w:marLeft w:val="0"/>
      <w:marRight w:val="0"/>
      <w:marTop w:val="0"/>
      <w:marBottom w:val="0"/>
      <w:divBdr>
        <w:top w:val="none" w:sz="0" w:space="0" w:color="auto"/>
        <w:left w:val="none" w:sz="0" w:space="0" w:color="auto"/>
        <w:bottom w:val="none" w:sz="0" w:space="0" w:color="auto"/>
        <w:right w:val="none" w:sz="0" w:space="0" w:color="auto"/>
      </w:divBdr>
    </w:div>
    <w:div w:id="1475366557">
      <w:bodyDiv w:val="1"/>
      <w:marLeft w:val="0"/>
      <w:marRight w:val="0"/>
      <w:marTop w:val="0"/>
      <w:marBottom w:val="0"/>
      <w:divBdr>
        <w:top w:val="none" w:sz="0" w:space="0" w:color="auto"/>
        <w:left w:val="none" w:sz="0" w:space="0" w:color="auto"/>
        <w:bottom w:val="none" w:sz="0" w:space="0" w:color="auto"/>
        <w:right w:val="none" w:sz="0" w:space="0" w:color="auto"/>
      </w:divBdr>
    </w:div>
    <w:div w:id="1487478050">
      <w:bodyDiv w:val="1"/>
      <w:marLeft w:val="0"/>
      <w:marRight w:val="0"/>
      <w:marTop w:val="0"/>
      <w:marBottom w:val="0"/>
      <w:divBdr>
        <w:top w:val="none" w:sz="0" w:space="0" w:color="auto"/>
        <w:left w:val="none" w:sz="0" w:space="0" w:color="auto"/>
        <w:bottom w:val="none" w:sz="0" w:space="0" w:color="auto"/>
        <w:right w:val="none" w:sz="0" w:space="0" w:color="auto"/>
      </w:divBdr>
    </w:div>
    <w:div w:id="1493594460">
      <w:bodyDiv w:val="1"/>
      <w:marLeft w:val="0"/>
      <w:marRight w:val="0"/>
      <w:marTop w:val="0"/>
      <w:marBottom w:val="0"/>
      <w:divBdr>
        <w:top w:val="none" w:sz="0" w:space="0" w:color="auto"/>
        <w:left w:val="none" w:sz="0" w:space="0" w:color="auto"/>
        <w:bottom w:val="none" w:sz="0" w:space="0" w:color="auto"/>
        <w:right w:val="none" w:sz="0" w:space="0" w:color="auto"/>
      </w:divBdr>
    </w:div>
    <w:div w:id="1498225149">
      <w:bodyDiv w:val="1"/>
      <w:marLeft w:val="0"/>
      <w:marRight w:val="0"/>
      <w:marTop w:val="0"/>
      <w:marBottom w:val="0"/>
      <w:divBdr>
        <w:top w:val="none" w:sz="0" w:space="0" w:color="auto"/>
        <w:left w:val="none" w:sz="0" w:space="0" w:color="auto"/>
        <w:bottom w:val="none" w:sz="0" w:space="0" w:color="auto"/>
        <w:right w:val="none" w:sz="0" w:space="0" w:color="auto"/>
      </w:divBdr>
    </w:div>
    <w:div w:id="1500538527">
      <w:bodyDiv w:val="1"/>
      <w:marLeft w:val="0"/>
      <w:marRight w:val="0"/>
      <w:marTop w:val="0"/>
      <w:marBottom w:val="0"/>
      <w:divBdr>
        <w:top w:val="none" w:sz="0" w:space="0" w:color="auto"/>
        <w:left w:val="none" w:sz="0" w:space="0" w:color="auto"/>
        <w:bottom w:val="none" w:sz="0" w:space="0" w:color="auto"/>
        <w:right w:val="none" w:sz="0" w:space="0" w:color="auto"/>
      </w:divBdr>
    </w:div>
    <w:div w:id="1502502140">
      <w:bodyDiv w:val="1"/>
      <w:marLeft w:val="0"/>
      <w:marRight w:val="0"/>
      <w:marTop w:val="0"/>
      <w:marBottom w:val="0"/>
      <w:divBdr>
        <w:top w:val="none" w:sz="0" w:space="0" w:color="auto"/>
        <w:left w:val="none" w:sz="0" w:space="0" w:color="auto"/>
        <w:bottom w:val="none" w:sz="0" w:space="0" w:color="auto"/>
        <w:right w:val="none" w:sz="0" w:space="0" w:color="auto"/>
      </w:divBdr>
    </w:div>
    <w:div w:id="1534920944">
      <w:bodyDiv w:val="1"/>
      <w:marLeft w:val="0"/>
      <w:marRight w:val="0"/>
      <w:marTop w:val="0"/>
      <w:marBottom w:val="0"/>
      <w:divBdr>
        <w:top w:val="none" w:sz="0" w:space="0" w:color="auto"/>
        <w:left w:val="none" w:sz="0" w:space="0" w:color="auto"/>
        <w:bottom w:val="none" w:sz="0" w:space="0" w:color="auto"/>
        <w:right w:val="none" w:sz="0" w:space="0" w:color="auto"/>
      </w:divBdr>
    </w:div>
    <w:div w:id="1535003766">
      <w:bodyDiv w:val="1"/>
      <w:marLeft w:val="0"/>
      <w:marRight w:val="0"/>
      <w:marTop w:val="0"/>
      <w:marBottom w:val="0"/>
      <w:divBdr>
        <w:top w:val="none" w:sz="0" w:space="0" w:color="auto"/>
        <w:left w:val="none" w:sz="0" w:space="0" w:color="auto"/>
        <w:bottom w:val="none" w:sz="0" w:space="0" w:color="auto"/>
        <w:right w:val="none" w:sz="0" w:space="0" w:color="auto"/>
      </w:divBdr>
    </w:div>
    <w:div w:id="1560827325">
      <w:bodyDiv w:val="1"/>
      <w:marLeft w:val="0"/>
      <w:marRight w:val="0"/>
      <w:marTop w:val="0"/>
      <w:marBottom w:val="0"/>
      <w:divBdr>
        <w:top w:val="none" w:sz="0" w:space="0" w:color="auto"/>
        <w:left w:val="none" w:sz="0" w:space="0" w:color="auto"/>
        <w:bottom w:val="none" w:sz="0" w:space="0" w:color="auto"/>
        <w:right w:val="none" w:sz="0" w:space="0" w:color="auto"/>
      </w:divBdr>
    </w:div>
    <w:div w:id="1563635586">
      <w:bodyDiv w:val="1"/>
      <w:marLeft w:val="0"/>
      <w:marRight w:val="0"/>
      <w:marTop w:val="0"/>
      <w:marBottom w:val="0"/>
      <w:divBdr>
        <w:top w:val="none" w:sz="0" w:space="0" w:color="auto"/>
        <w:left w:val="none" w:sz="0" w:space="0" w:color="auto"/>
        <w:bottom w:val="none" w:sz="0" w:space="0" w:color="auto"/>
        <w:right w:val="none" w:sz="0" w:space="0" w:color="auto"/>
      </w:divBdr>
    </w:div>
    <w:div w:id="1587760184">
      <w:bodyDiv w:val="1"/>
      <w:marLeft w:val="0"/>
      <w:marRight w:val="0"/>
      <w:marTop w:val="0"/>
      <w:marBottom w:val="0"/>
      <w:divBdr>
        <w:top w:val="none" w:sz="0" w:space="0" w:color="auto"/>
        <w:left w:val="none" w:sz="0" w:space="0" w:color="auto"/>
        <w:bottom w:val="none" w:sz="0" w:space="0" w:color="auto"/>
        <w:right w:val="none" w:sz="0" w:space="0" w:color="auto"/>
      </w:divBdr>
    </w:div>
    <w:div w:id="1623995676">
      <w:bodyDiv w:val="1"/>
      <w:marLeft w:val="0"/>
      <w:marRight w:val="0"/>
      <w:marTop w:val="0"/>
      <w:marBottom w:val="0"/>
      <w:divBdr>
        <w:top w:val="none" w:sz="0" w:space="0" w:color="auto"/>
        <w:left w:val="none" w:sz="0" w:space="0" w:color="auto"/>
        <w:bottom w:val="none" w:sz="0" w:space="0" w:color="auto"/>
        <w:right w:val="none" w:sz="0" w:space="0" w:color="auto"/>
      </w:divBdr>
    </w:div>
    <w:div w:id="1624579173">
      <w:bodyDiv w:val="1"/>
      <w:marLeft w:val="0"/>
      <w:marRight w:val="0"/>
      <w:marTop w:val="0"/>
      <w:marBottom w:val="0"/>
      <w:divBdr>
        <w:top w:val="none" w:sz="0" w:space="0" w:color="auto"/>
        <w:left w:val="none" w:sz="0" w:space="0" w:color="auto"/>
        <w:bottom w:val="none" w:sz="0" w:space="0" w:color="auto"/>
        <w:right w:val="none" w:sz="0" w:space="0" w:color="auto"/>
      </w:divBdr>
    </w:div>
    <w:div w:id="1625236955">
      <w:bodyDiv w:val="1"/>
      <w:marLeft w:val="0"/>
      <w:marRight w:val="0"/>
      <w:marTop w:val="0"/>
      <w:marBottom w:val="0"/>
      <w:divBdr>
        <w:top w:val="none" w:sz="0" w:space="0" w:color="auto"/>
        <w:left w:val="none" w:sz="0" w:space="0" w:color="auto"/>
        <w:bottom w:val="none" w:sz="0" w:space="0" w:color="auto"/>
        <w:right w:val="none" w:sz="0" w:space="0" w:color="auto"/>
      </w:divBdr>
    </w:div>
    <w:div w:id="1625454179">
      <w:bodyDiv w:val="1"/>
      <w:marLeft w:val="0"/>
      <w:marRight w:val="0"/>
      <w:marTop w:val="0"/>
      <w:marBottom w:val="0"/>
      <w:divBdr>
        <w:top w:val="none" w:sz="0" w:space="0" w:color="auto"/>
        <w:left w:val="none" w:sz="0" w:space="0" w:color="auto"/>
        <w:bottom w:val="none" w:sz="0" w:space="0" w:color="auto"/>
        <w:right w:val="none" w:sz="0" w:space="0" w:color="auto"/>
      </w:divBdr>
    </w:div>
    <w:div w:id="1631747014">
      <w:bodyDiv w:val="1"/>
      <w:marLeft w:val="0"/>
      <w:marRight w:val="0"/>
      <w:marTop w:val="0"/>
      <w:marBottom w:val="0"/>
      <w:divBdr>
        <w:top w:val="none" w:sz="0" w:space="0" w:color="auto"/>
        <w:left w:val="none" w:sz="0" w:space="0" w:color="auto"/>
        <w:bottom w:val="none" w:sz="0" w:space="0" w:color="auto"/>
        <w:right w:val="none" w:sz="0" w:space="0" w:color="auto"/>
      </w:divBdr>
    </w:div>
    <w:div w:id="1631784070">
      <w:bodyDiv w:val="1"/>
      <w:marLeft w:val="0"/>
      <w:marRight w:val="0"/>
      <w:marTop w:val="0"/>
      <w:marBottom w:val="0"/>
      <w:divBdr>
        <w:top w:val="none" w:sz="0" w:space="0" w:color="auto"/>
        <w:left w:val="none" w:sz="0" w:space="0" w:color="auto"/>
        <w:bottom w:val="none" w:sz="0" w:space="0" w:color="auto"/>
        <w:right w:val="none" w:sz="0" w:space="0" w:color="auto"/>
      </w:divBdr>
    </w:div>
    <w:div w:id="1638300241">
      <w:bodyDiv w:val="1"/>
      <w:marLeft w:val="0"/>
      <w:marRight w:val="0"/>
      <w:marTop w:val="0"/>
      <w:marBottom w:val="0"/>
      <w:divBdr>
        <w:top w:val="none" w:sz="0" w:space="0" w:color="auto"/>
        <w:left w:val="none" w:sz="0" w:space="0" w:color="auto"/>
        <w:bottom w:val="none" w:sz="0" w:space="0" w:color="auto"/>
        <w:right w:val="none" w:sz="0" w:space="0" w:color="auto"/>
      </w:divBdr>
    </w:div>
    <w:div w:id="1645426796">
      <w:bodyDiv w:val="1"/>
      <w:marLeft w:val="0"/>
      <w:marRight w:val="0"/>
      <w:marTop w:val="0"/>
      <w:marBottom w:val="0"/>
      <w:divBdr>
        <w:top w:val="none" w:sz="0" w:space="0" w:color="auto"/>
        <w:left w:val="none" w:sz="0" w:space="0" w:color="auto"/>
        <w:bottom w:val="none" w:sz="0" w:space="0" w:color="auto"/>
        <w:right w:val="none" w:sz="0" w:space="0" w:color="auto"/>
      </w:divBdr>
    </w:div>
    <w:div w:id="1649895436">
      <w:bodyDiv w:val="1"/>
      <w:marLeft w:val="0"/>
      <w:marRight w:val="0"/>
      <w:marTop w:val="0"/>
      <w:marBottom w:val="0"/>
      <w:divBdr>
        <w:top w:val="none" w:sz="0" w:space="0" w:color="auto"/>
        <w:left w:val="none" w:sz="0" w:space="0" w:color="auto"/>
        <w:bottom w:val="none" w:sz="0" w:space="0" w:color="auto"/>
        <w:right w:val="none" w:sz="0" w:space="0" w:color="auto"/>
      </w:divBdr>
    </w:div>
    <w:div w:id="1653826349">
      <w:bodyDiv w:val="1"/>
      <w:marLeft w:val="0"/>
      <w:marRight w:val="0"/>
      <w:marTop w:val="0"/>
      <w:marBottom w:val="0"/>
      <w:divBdr>
        <w:top w:val="none" w:sz="0" w:space="0" w:color="auto"/>
        <w:left w:val="none" w:sz="0" w:space="0" w:color="auto"/>
        <w:bottom w:val="none" w:sz="0" w:space="0" w:color="auto"/>
        <w:right w:val="none" w:sz="0" w:space="0" w:color="auto"/>
      </w:divBdr>
    </w:div>
    <w:div w:id="1690990531">
      <w:bodyDiv w:val="1"/>
      <w:marLeft w:val="0"/>
      <w:marRight w:val="0"/>
      <w:marTop w:val="0"/>
      <w:marBottom w:val="0"/>
      <w:divBdr>
        <w:top w:val="none" w:sz="0" w:space="0" w:color="auto"/>
        <w:left w:val="none" w:sz="0" w:space="0" w:color="auto"/>
        <w:bottom w:val="none" w:sz="0" w:space="0" w:color="auto"/>
        <w:right w:val="none" w:sz="0" w:space="0" w:color="auto"/>
      </w:divBdr>
    </w:div>
    <w:div w:id="1699308335">
      <w:bodyDiv w:val="1"/>
      <w:marLeft w:val="0"/>
      <w:marRight w:val="0"/>
      <w:marTop w:val="0"/>
      <w:marBottom w:val="0"/>
      <w:divBdr>
        <w:top w:val="none" w:sz="0" w:space="0" w:color="auto"/>
        <w:left w:val="none" w:sz="0" w:space="0" w:color="auto"/>
        <w:bottom w:val="none" w:sz="0" w:space="0" w:color="auto"/>
        <w:right w:val="none" w:sz="0" w:space="0" w:color="auto"/>
      </w:divBdr>
    </w:div>
    <w:div w:id="1704405473">
      <w:bodyDiv w:val="1"/>
      <w:marLeft w:val="0"/>
      <w:marRight w:val="0"/>
      <w:marTop w:val="0"/>
      <w:marBottom w:val="0"/>
      <w:divBdr>
        <w:top w:val="none" w:sz="0" w:space="0" w:color="auto"/>
        <w:left w:val="none" w:sz="0" w:space="0" w:color="auto"/>
        <w:bottom w:val="none" w:sz="0" w:space="0" w:color="auto"/>
        <w:right w:val="none" w:sz="0" w:space="0" w:color="auto"/>
      </w:divBdr>
    </w:div>
    <w:div w:id="1708675340">
      <w:bodyDiv w:val="1"/>
      <w:marLeft w:val="0"/>
      <w:marRight w:val="0"/>
      <w:marTop w:val="0"/>
      <w:marBottom w:val="0"/>
      <w:divBdr>
        <w:top w:val="none" w:sz="0" w:space="0" w:color="auto"/>
        <w:left w:val="none" w:sz="0" w:space="0" w:color="auto"/>
        <w:bottom w:val="none" w:sz="0" w:space="0" w:color="auto"/>
        <w:right w:val="none" w:sz="0" w:space="0" w:color="auto"/>
      </w:divBdr>
    </w:div>
    <w:div w:id="1763867537">
      <w:bodyDiv w:val="1"/>
      <w:marLeft w:val="0"/>
      <w:marRight w:val="0"/>
      <w:marTop w:val="0"/>
      <w:marBottom w:val="0"/>
      <w:divBdr>
        <w:top w:val="none" w:sz="0" w:space="0" w:color="auto"/>
        <w:left w:val="none" w:sz="0" w:space="0" w:color="auto"/>
        <w:bottom w:val="none" w:sz="0" w:space="0" w:color="auto"/>
        <w:right w:val="none" w:sz="0" w:space="0" w:color="auto"/>
      </w:divBdr>
    </w:div>
    <w:div w:id="1784766582">
      <w:bodyDiv w:val="1"/>
      <w:marLeft w:val="0"/>
      <w:marRight w:val="0"/>
      <w:marTop w:val="0"/>
      <w:marBottom w:val="0"/>
      <w:divBdr>
        <w:top w:val="none" w:sz="0" w:space="0" w:color="auto"/>
        <w:left w:val="none" w:sz="0" w:space="0" w:color="auto"/>
        <w:bottom w:val="none" w:sz="0" w:space="0" w:color="auto"/>
        <w:right w:val="none" w:sz="0" w:space="0" w:color="auto"/>
      </w:divBdr>
    </w:div>
    <w:div w:id="1789153959">
      <w:bodyDiv w:val="1"/>
      <w:marLeft w:val="0"/>
      <w:marRight w:val="0"/>
      <w:marTop w:val="0"/>
      <w:marBottom w:val="0"/>
      <w:divBdr>
        <w:top w:val="none" w:sz="0" w:space="0" w:color="auto"/>
        <w:left w:val="none" w:sz="0" w:space="0" w:color="auto"/>
        <w:bottom w:val="none" w:sz="0" w:space="0" w:color="auto"/>
        <w:right w:val="none" w:sz="0" w:space="0" w:color="auto"/>
      </w:divBdr>
    </w:div>
    <w:div w:id="1792823460">
      <w:bodyDiv w:val="1"/>
      <w:marLeft w:val="0"/>
      <w:marRight w:val="0"/>
      <w:marTop w:val="0"/>
      <w:marBottom w:val="0"/>
      <w:divBdr>
        <w:top w:val="none" w:sz="0" w:space="0" w:color="auto"/>
        <w:left w:val="none" w:sz="0" w:space="0" w:color="auto"/>
        <w:bottom w:val="none" w:sz="0" w:space="0" w:color="auto"/>
        <w:right w:val="none" w:sz="0" w:space="0" w:color="auto"/>
      </w:divBdr>
    </w:div>
    <w:div w:id="1814635647">
      <w:bodyDiv w:val="1"/>
      <w:marLeft w:val="0"/>
      <w:marRight w:val="0"/>
      <w:marTop w:val="0"/>
      <w:marBottom w:val="0"/>
      <w:divBdr>
        <w:top w:val="none" w:sz="0" w:space="0" w:color="auto"/>
        <w:left w:val="none" w:sz="0" w:space="0" w:color="auto"/>
        <w:bottom w:val="none" w:sz="0" w:space="0" w:color="auto"/>
        <w:right w:val="none" w:sz="0" w:space="0" w:color="auto"/>
      </w:divBdr>
    </w:div>
    <w:div w:id="1816877400">
      <w:bodyDiv w:val="1"/>
      <w:marLeft w:val="0"/>
      <w:marRight w:val="0"/>
      <w:marTop w:val="0"/>
      <w:marBottom w:val="0"/>
      <w:divBdr>
        <w:top w:val="none" w:sz="0" w:space="0" w:color="auto"/>
        <w:left w:val="none" w:sz="0" w:space="0" w:color="auto"/>
        <w:bottom w:val="none" w:sz="0" w:space="0" w:color="auto"/>
        <w:right w:val="none" w:sz="0" w:space="0" w:color="auto"/>
      </w:divBdr>
    </w:div>
    <w:div w:id="1818254164">
      <w:bodyDiv w:val="1"/>
      <w:marLeft w:val="0"/>
      <w:marRight w:val="0"/>
      <w:marTop w:val="0"/>
      <w:marBottom w:val="0"/>
      <w:divBdr>
        <w:top w:val="none" w:sz="0" w:space="0" w:color="auto"/>
        <w:left w:val="none" w:sz="0" w:space="0" w:color="auto"/>
        <w:bottom w:val="none" w:sz="0" w:space="0" w:color="auto"/>
        <w:right w:val="none" w:sz="0" w:space="0" w:color="auto"/>
      </w:divBdr>
    </w:div>
    <w:div w:id="1822886135">
      <w:bodyDiv w:val="1"/>
      <w:marLeft w:val="0"/>
      <w:marRight w:val="0"/>
      <w:marTop w:val="0"/>
      <w:marBottom w:val="0"/>
      <w:divBdr>
        <w:top w:val="none" w:sz="0" w:space="0" w:color="auto"/>
        <w:left w:val="none" w:sz="0" w:space="0" w:color="auto"/>
        <w:bottom w:val="none" w:sz="0" w:space="0" w:color="auto"/>
        <w:right w:val="none" w:sz="0" w:space="0" w:color="auto"/>
      </w:divBdr>
    </w:div>
    <w:div w:id="1832719253">
      <w:bodyDiv w:val="1"/>
      <w:marLeft w:val="0"/>
      <w:marRight w:val="0"/>
      <w:marTop w:val="0"/>
      <w:marBottom w:val="0"/>
      <w:divBdr>
        <w:top w:val="none" w:sz="0" w:space="0" w:color="auto"/>
        <w:left w:val="none" w:sz="0" w:space="0" w:color="auto"/>
        <w:bottom w:val="none" w:sz="0" w:space="0" w:color="auto"/>
        <w:right w:val="none" w:sz="0" w:space="0" w:color="auto"/>
      </w:divBdr>
    </w:div>
    <w:div w:id="1847554163">
      <w:bodyDiv w:val="1"/>
      <w:marLeft w:val="0"/>
      <w:marRight w:val="0"/>
      <w:marTop w:val="0"/>
      <w:marBottom w:val="0"/>
      <w:divBdr>
        <w:top w:val="none" w:sz="0" w:space="0" w:color="auto"/>
        <w:left w:val="none" w:sz="0" w:space="0" w:color="auto"/>
        <w:bottom w:val="none" w:sz="0" w:space="0" w:color="auto"/>
        <w:right w:val="none" w:sz="0" w:space="0" w:color="auto"/>
      </w:divBdr>
    </w:div>
    <w:div w:id="1862821937">
      <w:bodyDiv w:val="1"/>
      <w:marLeft w:val="0"/>
      <w:marRight w:val="0"/>
      <w:marTop w:val="0"/>
      <w:marBottom w:val="0"/>
      <w:divBdr>
        <w:top w:val="none" w:sz="0" w:space="0" w:color="auto"/>
        <w:left w:val="none" w:sz="0" w:space="0" w:color="auto"/>
        <w:bottom w:val="none" w:sz="0" w:space="0" w:color="auto"/>
        <w:right w:val="none" w:sz="0" w:space="0" w:color="auto"/>
      </w:divBdr>
    </w:div>
    <w:div w:id="1866361966">
      <w:bodyDiv w:val="1"/>
      <w:marLeft w:val="0"/>
      <w:marRight w:val="0"/>
      <w:marTop w:val="0"/>
      <w:marBottom w:val="0"/>
      <w:divBdr>
        <w:top w:val="none" w:sz="0" w:space="0" w:color="auto"/>
        <w:left w:val="none" w:sz="0" w:space="0" w:color="auto"/>
        <w:bottom w:val="none" w:sz="0" w:space="0" w:color="auto"/>
        <w:right w:val="none" w:sz="0" w:space="0" w:color="auto"/>
      </w:divBdr>
    </w:div>
    <w:div w:id="1870102413">
      <w:bodyDiv w:val="1"/>
      <w:marLeft w:val="0"/>
      <w:marRight w:val="0"/>
      <w:marTop w:val="0"/>
      <w:marBottom w:val="0"/>
      <w:divBdr>
        <w:top w:val="none" w:sz="0" w:space="0" w:color="auto"/>
        <w:left w:val="none" w:sz="0" w:space="0" w:color="auto"/>
        <w:bottom w:val="none" w:sz="0" w:space="0" w:color="auto"/>
        <w:right w:val="none" w:sz="0" w:space="0" w:color="auto"/>
      </w:divBdr>
    </w:div>
    <w:div w:id="1891308766">
      <w:bodyDiv w:val="1"/>
      <w:marLeft w:val="0"/>
      <w:marRight w:val="0"/>
      <w:marTop w:val="0"/>
      <w:marBottom w:val="0"/>
      <w:divBdr>
        <w:top w:val="none" w:sz="0" w:space="0" w:color="auto"/>
        <w:left w:val="none" w:sz="0" w:space="0" w:color="auto"/>
        <w:bottom w:val="none" w:sz="0" w:space="0" w:color="auto"/>
        <w:right w:val="none" w:sz="0" w:space="0" w:color="auto"/>
      </w:divBdr>
    </w:div>
    <w:div w:id="1894006281">
      <w:bodyDiv w:val="1"/>
      <w:marLeft w:val="0"/>
      <w:marRight w:val="0"/>
      <w:marTop w:val="0"/>
      <w:marBottom w:val="0"/>
      <w:divBdr>
        <w:top w:val="none" w:sz="0" w:space="0" w:color="auto"/>
        <w:left w:val="none" w:sz="0" w:space="0" w:color="auto"/>
        <w:bottom w:val="none" w:sz="0" w:space="0" w:color="auto"/>
        <w:right w:val="none" w:sz="0" w:space="0" w:color="auto"/>
      </w:divBdr>
    </w:div>
    <w:div w:id="1894463586">
      <w:bodyDiv w:val="1"/>
      <w:marLeft w:val="0"/>
      <w:marRight w:val="0"/>
      <w:marTop w:val="0"/>
      <w:marBottom w:val="0"/>
      <w:divBdr>
        <w:top w:val="none" w:sz="0" w:space="0" w:color="auto"/>
        <w:left w:val="none" w:sz="0" w:space="0" w:color="auto"/>
        <w:bottom w:val="none" w:sz="0" w:space="0" w:color="auto"/>
        <w:right w:val="none" w:sz="0" w:space="0" w:color="auto"/>
      </w:divBdr>
    </w:div>
    <w:div w:id="1895849283">
      <w:bodyDiv w:val="1"/>
      <w:marLeft w:val="0"/>
      <w:marRight w:val="0"/>
      <w:marTop w:val="0"/>
      <w:marBottom w:val="0"/>
      <w:divBdr>
        <w:top w:val="none" w:sz="0" w:space="0" w:color="auto"/>
        <w:left w:val="none" w:sz="0" w:space="0" w:color="auto"/>
        <w:bottom w:val="none" w:sz="0" w:space="0" w:color="auto"/>
        <w:right w:val="none" w:sz="0" w:space="0" w:color="auto"/>
      </w:divBdr>
    </w:div>
    <w:div w:id="1921789847">
      <w:bodyDiv w:val="1"/>
      <w:marLeft w:val="0"/>
      <w:marRight w:val="0"/>
      <w:marTop w:val="0"/>
      <w:marBottom w:val="0"/>
      <w:divBdr>
        <w:top w:val="none" w:sz="0" w:space="0" w:color="auto"/>
        <w:left w:val="none" w:sz="0" w:space="0" w:color="auto"/>
        <w:bottom w:val="none" w:sz="0" w:space="0" w:color="auto"/>
        <w:right w:val="none" w:sz="0" w:space="0" w:color="auto"/>
      </w:divBdr>
    </w:div>
    <w:div w:id="1976331501">
      <w:bodyDiv w:val="1"/>
      <w:marLeft w:val="0"/>
      <w:marRight w:val="0"/>
      <w:marTop w:val="0"/>
      <w:marBottom w:val="0"/>
      <w:divBdr>
        <w:top w:val="none" w:sz="0" w:space="0" w:color="auto"/>
        <w:left w:val="none" w:sz="0" w:space="0" w:color="auto"/>
        <w:bottom w:val="none" w:sz="0" w:space="0" w:color="auto"/>
        <w:right w:val="none" w:sz="0" w:space="0" w:color="auto"/>
      </w:divBdr>
    </w:div>
    <w:div w:id="2004550160">
      <w:bodyDiv w:val="1"/>
      <w:marLeft w:val="0"/>
      <w:marRight w:val="0"/>
      <w:marTop w:val="0"/>
      <w:marBottom w:val="0"/>
      <w:divBdr>
        <w:top w:val="none" w:sz="0" w:space="0" w:color="auto"/>
        <w:left w:val="none" w:sz="0" w:space="0" w:color="auto"/>
        <w:bottom w:val="none" w:sz="0" w:space="0" w:color="auto"/>
        <w:right w:val="none" w:sz="0" w:space="0" w:color="auto"/>
      </w:divBdr>
    </w:div>
    <w:div w:id="2004580072">
      <w:bodyDiv w:val="1"/>
      <w:marLeft w:val="0"/>
      <w:marRight w:val="0"/>
      <w:marTop w:val="0"/>
      <w:marBottom w:val="0"/>
      <w:divBdr>
        <w:top w:val="none" w:sz="0" w:space="0" w:color="auto"/>
        <w:left w:val="none" w:sz="0" w:space="0" w:color="auto"/>
        <w:bottom w:val="none" w:sz="0" w:space="0" w:color="auto"/>
        <w:right w:val="none" w:sz="0" w:space="0" w:color="auto"/>
      </w:divBdr>
    </w:div>
    <w:div w:id="2005081161">
      <w:bodyDiv w:val="1"/>
      <w:marLeft w:val="0"/>
      <w:marRight w:val="0"/>
      <w:marTop w:val="0"/>
      <w:marBottom w:val="0"/>
      <w:divBdr>
        <w:top w:val="none" w:sz="0" w:space="0" w:color="auto"/>
        <w:left w:val="none" w:sz="0" w:space="0" w:color="auto"/>
        <w:bottom w:val="none" w:sz="0" w:space="0" w:color="auto"/>
        <w:right w:val="none" w:sz="0" w:space="0" w:color="auto"/>
      </w:divBdr>
    </w:div>
    <w:div w:id="2018078115">
      <w:bodyDiv w:val="1"/>
      <w:marLeft w:val="0"/>
      <w:marRight w:val="0"/>
      <w:marTop w:val="0"/>
      <w:marBottom w:val="0"/>
      <w:divBdr>
        <w:top w:val="none" w:sz="0" w:space="0" w:color="auto"/>
        <w:left w:val="none" w:sz="0" w:space="0" w:color="auto"/>
        <w:bottom w:val="none" w:sz="0" w:space="0" w:color="auto"/>
        <w:right w:val="none" w:sz="0" w:space="0" w:color="auto"/>
      </w:divBdr>
    </w:div>
    <w:div w:id="2019769697">
      <w:bodyDiv w:val="1"/>
      <w:marLeft w:val="0"/>
      <w:marRight w:val="0"/>
      <w:marTop w:val="0"/>
      <w:marBottom w:val="0"/>
      <w:divBdr>
        <w:top w:val="none" w:sz="0" w:space="0" w:color="auto"/>
        <w:left w:val="none" w:sz="0" w:space="0" w:color="auto"/>
        <w:bottom w:val="none" w:sz="0" w:space="0" w:color="auto"/>
        <w:right w:val="none" w:sz="0" w:space="0" w:color="auto"/>
      </w:divBdr>
    </w:div>
    <w:div w:id="2046326503">
      <w:bodyDiv w:val="1"/>
      <w:marLeft w:val="0"/>
      <w:marRight w:val="0"/>
      <w:marTop w:val="0"/>
      <w:marBottom w:val="0"/>
      <w:divBdr>
        <w:top w:val="none" w:sz="0" w:space="0" w:color="auto"/>
        <w:left w:val="none" w:sz="0" w:space="0" w:color="auto"/>
        <w:bottom w:val="none" w:sz="0" w:space="0" w:color="auto"/>
        <w:right w:val="none" w:sz="0" w:space="0" w:color="auto"/>
      </w:divBdr>
    </w:div>
    <w:div w:id="2060399157">
      <w:bodyDiv w:val="1"/>
      <w:marLeft w:val="0"/>
      <w:marRight w:val="0"/>
      <w:marTop w:val="0"/>
      <w:marBottom w:val="0"/>
      <w:divBdr>
        <w:top w:val="none" w:sz="0" w:space="0" w:color="auto"/>
        <w:left w:val="none" w:sz="0" w:space="0" w:color="auto"/>
        <w:bottom w:val="none" w:sz="0" w:space="0" w:color="auto"/>
        <w:right w:val="none" w:sz="0" w:space="0" w:color="auto"/>
      </w:divBdr>
    </w:div>
    <w:div w:id="2064982083">
      <w:bodyDiv w:val="1"/>
      <w:marLeft w:val="0"/>
      <w:marRight w:val="0"/>
      <w:marTop w:val="0"/>
      <w:marBottom w:val="0"/>
      <w:divBdr>
        <w:top w:val="none" w:sz="0" w:space="0" w:color="auto"/>
        <w:left w:val="none" w:sz="0" w:space="0" w:color="auto"/>
        <w:bottom w:val="none" w:sz="0" w:space="0" w:color="auto"/>
        <w:right w:val="none" w:sz="0" w:space="0" w:color="auto"/>
      </w:divBdr>
    </w:div>
    <w:div w:id="2066223452">
      <w:bodyDiv w:val="1"/>
      <w:marLeft w:val="0"/>
      <w:marRight w:val="0"/>
      <w:marTop w:val="0"/>
      <w:marBottom w:val="0"/>
      <w:divBdr>
        <w:top w:val="none" w:sz="0" w:space="0" w:color="auto"/>
        <w:left w:val="none" w:sz="0" w:space="0" w:color="auto"/>
        <w:bottom w:val="none" w:sz="0" w:space="0" w:color="auto"/>
        <w:right w:val="none" w:sz="0" w:space="0" w:color="auto"/>
      </w:divBdr>
    </w:div>
    <w:div w:id="210010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22373/jose.v4i2.2961" TargetMode="External"/><Relationship Id="rId13" Type="http://schemas.microsoft.com/office/2007/relationships/hdphoto" Target="media/hdphoto1.wdp"/><Relationship Id="rId18" Type="http://schemas.openxmlformats.org/officeDocument/2006/relationships/image" Target="media/image4.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ysrevpharm.org/?mno=25119" TargetMode="External"/><Relationship Id="rId7" Type="http://schemas.openxmlformats.org/officeDocument/2006/relationships/endnotes" Target="endnotes.xml"/><Relationship Id="rId12" Type="http://schemas.openxmlformats.org/officeDocument/2006/relationships/image" Target="media/image1.png"/><Relationship Id="rId17" Type="http://schemas.microsoft.com/office/2007/relationships/hdphoto" Target="media/hdphoto3.wdp"/><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nap.perbanas.id/wp-content/uploads/2020/03/Book-of-Abstracts-SNAP-2020.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rid.fathony22sps@mhs.uinjkt.ac.id" TargetMode="External"/><Relationship Id="rId24" Type="http://schemas.openxmlformats.org/officeDocument/2006/relationships/hyperlink" Target="http://journal.stiemb.ac.id/index.php/mea/article/view/1858" TargetMode="External"/><Relationship Id="rId5" Type="http://schemas.openxmlformats.org/officeDocument/2006/relationships/webSettings" Target="webSettings.xml"/><Relationship Id="rId15" Type="http://schemas.microsoft.com/office/2007/relationships/hdphoto" Target="media/hdphoto2.wdp"/><Relationship Id="rId23" Type="http://schemas.openxmlformats.org/officeDocument/2006/relationships/hyperlink" Target="https://hamdardislamicus.com.pk/journal/index.php/hamdardislamicus/article/view/174" TargetMode="External"/><Relationship Id="rId28" Type="http://schemas.openxmlformats.org/officeDocument/2006/relationships/footer" Target="footer2.xml"/><Relationship Id="rId10" Type="http://schemas.openxmlformats.org/officeDocument/2006/relationships/hyperlink" Target="mailto:ahmad.rodoni@uinjkt.ac.id" TargetMode="External"/><Relationship Id="rId19" Type="http://schemas.microsoft.com/office/2007/relationships/hdphoto" Target="media/hdphoto4.wdp"/><Relationship Id="rId4" Type="http://schemas.openxmlformats.org/officeDocument/2006/relationships/settings" Target="settings.xml"/><Relationship Id="rId9" Type="http://schemas.openxmlformats.org/officeDocument/2006/relationships/hyperlink" Target="mailto:roikhanma.uinjkts@gmail.com" TargetMode="External"/><Relationship Id="rId14" Type="http://schemas.openxmlformats.org/officeDocument/2006/relationships/image" Target="media/image2.png"/><Relationship Id="rId22" Type="http://schemas.openxmlformats.org/officeDocument/2006/relationships/hyperlink" Target="http://ppm.ejournal.id/" TargetMode="External"/><Relationship Id="rId27" Type="http://schemas.openxmlformats.org/officeDocument/2006/relationships/header" Target="head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journal.stiemb.ac.id/index.php/mea/article/view/18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War13</b:Tag>
    <b:SourceType>JournalArticle</b:SourceType>
    <b:Guid>{05E90756-4789-4F02-8032-9667FC015565}</b:Guid>
    <b:Title>Etika Bisnis dalam Perspektif Islam</b:Title>
    <b:Year>2013</b:Year>
    <b:Author>
      <b:Author>
        <b:NameList>
          <b:Person>
            <b:Last>Warjo</b:Last>
          </b:Person>
        </b:NameList>
      </b:Author>
    </b:Author>
    <b:JournalName>EKonomi</b:JournalName>
    <b:Pages>57-67</b:Pages>
    <b:RefOrder>1</b:RefOrder>
  </b:Source>
  <b:Source>
    <b:Tag>Ibr18</b:Tag>
    <b:SourceType>JournalArticle</b:SourceType>
    <b:Guid>{1CEB939E-4917-44DD-B8E2-D68D1C404BB7}</b:Guid>
    <b:Title>Islamic Work Ethics and Economic Development in Islamic Cuontries: Bridging Between Theory and Reality </b:Title>
    <b:JournalName>Internasional Conference of Moslem Socitety</b:JournalName>
    <b:Year>2018</b:Year>
    <b:Pages>45-50</b:Pages>
    <b:Author>
      <b:Author>
        <b:NameList>
          <b:Person>
            <b:Last>Ibrahim</b:Last>
            <b:First>Azharsyah</b:First>
          </b:Person>
        </b:NameList>
      </b:Author>
    </b:Author>
    <b:RefOrder>2</b:RefOrder>
  </b:Source>
  <b:Source>
    <b:Tag>Jul16</b:Tag>
    <b:SourceType>JournalArticle</b:SourceType>
    <b:Guid>{9BD02363-B7FD-48D4-822A-92F171F81F50}</b:Guid>
    <b:Title>Etika Bisnis dalam Perspektif Islam</b:Title>
    <b:JournalName>Ummul Qura</b:JournalName>
    <b:Year>2016</b:Year>
    <b:Pages>63-74</b:Pages>
    <b:Author>
      <b:Author>
        <b:NameList>
          <b:Person>
            <b:Last>Juliyani</b:Last>
            <b:First>Erly</b:First>
          </b:Person>
        </b:NameList>
      </b:Author>
    </b:Author>
    <b:RefOrder>3</b:RefOrder>
  </b:Source>
  <b:Source>
    <b:Tag>Asm13</b:Tag>
    <b:SourceType>Book</b:SourceType>
    <b:Guid>{79772F53-8703-4A64-9A11-88A7A23FEB02}</b:Guid>
    <b:Title>Bisnis Syariah Suatu Alternatif Pengembangan Bisnis yang Humanistik dan Berkeadilan</b:Title>
    <b:Year>2013</b:Year>
    <b:City>Medan</b:City>
    <b:Publisher>Perdana Publishing dan Anggota Ikatan Penerbit Indonesia (IKAPI)</b:Publisher>
    <b:Author>
      <b:Author>
        <b:NameList>
          <b:Person>
            <b:First>Asmuni</b:First>
          </b:Person>
          <b:Person>
            <b:Last>Mujiatun</b:Last>
            <b:First>Siti</b:First>
          </b:Person>
        </b:NameList>
      </b:Author>
    </b:Author>
    <b:RefOrder>4</b:RefOrder>
  </b:Source>
  <b:Source>
    <b:Tag>Fau13</b:Tag>
    <b:SourceType>JournalArticle</b:SourceType>
    <b:Guid>{B9C7AA27-36A5-4C66-9634-8BCB1A396F3B}</b:Guid>
    <b:Author>
      <b:Author>
        <b:NameList>
          <b:Person>
            <b:Last>Fauzan</b:Last>
          </b:Person>
        </b:NameList>
      </b:Author>
    </b:Author>
    <b:Title>Pengaruh Religiusitas Terhadap Etika Berbisnis (Studi Pada RM. Padang di Kota Malang)</b:Title>
    <b:Year>2013</b:Year>
    <b:JournalName>JMK</b:JournalName>
    <b:Pages>53-64</b:Pages>
    <b:RefOrder>5</b:RefOrder>
  </b:Source>
  <b:Source>
    <b:Tag>Fai10</b:Tag>
    <b:SourceType>JournalArticle</b:SourceType>
    <b:Guid>{89AB491B-674B-425F-AA03-28763D104D4B}</b:Guid>
    <b:Author>
      <b:Author>
        <b:NameList>
          <b:Person>
            <b:Last>Faiz</b:Last>
            <b:First>Ahmad</b:First>
          </b:Person>
        </b:NameList>
      </b:Author>
    </b:Author>
    <b:Title>Pengaruh Tingkat Keagamaan Terhadap Perilaku Pedagang </b:Title>
    <b:JournalName>Al-Iqtishad</b:JournalName>
    <b:Year>2010</b:Year>
    <b:Pages>182-208</b:Pages>
    <b:RefOrder>6</b:RefOrder>
  </b:Source>
  <b:Source>
    <b:Tag>Htt</b:Tag>
    <b:SourceType>InternetSite</b:SourceType>
    <b:Guid>{D45CC2E4-8F57-499F-BF30-FEFDEC93D1BA}</b:Guid>
    <b:InternetSiteTitle>Https://kkbi.Web.id/religiositas</b:InternetSiteTitle>
    <b:RefOrder>7</b:RefOrder>
  </b:Source>
  <b:Source>
    <b:Tag>Usm01</b:Tag>
    <b:SourceType>Book</b:SourceType>
    <b:Guid>{5DD60C16-093F-48AA-A56E-24682AED554E}</b:Guid>
    <b:Title>Asas-asas dan Pengantar Studi Hukum Islam dalam Tata Hukum Indonesia </b:Title>
    <b:Year>2001</b:Year>
    <b:City>Jakarta</b:City>
    <b:Publisher>Gaya Media Pratama</b:Publisher>
    <b:Author>
      <b:Author>
        <b:NameList>
          <b:Person>
            <b:Last>Usman</b:Last>
            <b:First>Suparman</b:First>
          </b:Person>
        </b:NameList>
      </b:Author>
    </b:Author>
    <b:RefOrder>8</b:RefOrder>
  </b:Source>
  <b:Source>
    <b:Tag>Shi17</b:Tag>
    <b:SourceType>Book</b:SourceType>
    <b:Guid>{34378758-3278-488D-AEB7-00F0AB99A924}</b:Guid>
    <b:Title>Islam Yang Saya Anut: Dasar-dasar Ajaran Islam</b:Title>
    <b:Year>2017</b:Year>
    <b:City>Tangerang</b:City>
    <b:Publisher>Lentera Hati</b:Publisher>
    <b:Author>
      <b:Author>
        <b:NameList>
          <b:Person>
            <b:Last>Shihab</b:Last>
            <b:Middle>Quraish</b:Middle>
            <b:First>M.</b:First>
          </b:Person>
        </b:NameList>
      </b:Author>
    </b:Author>
    <b:RefOrder>9</b:RefOrder>
  </b:Source>
  <b:Source>
    <b:Tag>War18</b:Tag>
    <b:SourceType>JournalArticle</b:SourceType>
    <b:Guid>{13560015-E681-4295-82C1-3776F5698791}</b:Guid>
    <b:Author>
      <b:Author>
        <b:NameList>
          <b:Person>
            <b:Last>Warsiyah</b:Last>
          </b:Person>
        </b:NameList>
      </b:Author>
    </b:Author>
    <b:Title>Pembentukan Religiusitas Remaja Muslim (Tinjauan Perspektif Analitis)</b:Title>
    <b:Year>2018</b:Year>
    <b:JournalName>Cendekia</b:JournalName>
    <b:Pages>19-40</b:Pages>
    <b:RefOrder>10</b:RefOrder>
  </b:Source>
  <b:Source>
    <b:Tag>Maz17</b:Tag>
    <b:SourceType>JournalArticle</b:SourceType>
    <b:Guid>{D585FF7E-E1D9-4D0A-B67F-90FFFE7874FC}</b:Guid>
    <b:Title>Pengaruh Religiusitas Terhadap Perilaku Ekonomi Masyarakat Pasar Tradisional  (Studi Empiris Pada Masyarakat Pasar Tradisional di Kota Serang Provinsi Banten</b:Title>
    <b:JournalName>Alqalam</b:JournalName>
    <b:Year>2017</b:Year>
    <b:Pages>314-336</b:Pages>
    <b:Author>
      <b:Author>
        <b:NameList>
          <b:Person>
            <b:Last>Ma'zumi</b:Last>
          </b:Person>
          <b:Person>
            <b:Last>Taswiyah</b:Last>
          </b:Person>
          <b:Person>
            <b:Last>Najmudin</b:Last>
          </b:Person>
        </b:NameList>
      </b:Author>
    </b:Author>
    <b:RefOrder>11</b:RefOrder>
  </b:Source>
  <b:Source>
    <b:Tag>Nua14</b:Tag>
    <b:SourceType>JournalArticle</b:SourceType>
    <b:Guid>{1D40CC15-9711-48C5-8305-00336135BCE9}</b:Guid>
    <b:Title>Hubungan antara Sikap Terhadap Religiusitas dengan Sikap Terhadap Sikap Kecendrungan Perilaku Seks Pranikah pada Remaja Akhir yangSedang Berpacarandi Universitas Airlangga Surabaya</b:Title>
    <b:JournalName>Psikologi Kepribadian dan Sosial</b:JournalName>
    <b:Year>2014</b:Year>
    <b:Pages>60-67</b:Pages>
    <b:Author>
      <b:Author>
        <b:NameList>
          <b:Person>
            <b:Last>Nuandri</b:Last>
            <b:Middle>Tweriza</b:Middle>
            <b:First>Vidya</b:First>
          </b:Person>
          <b:Person>
            <b:Last>Widayat</b:Last>
            <b:Middle>Wahyu</b:Middle>
            <b:First>Iwan</b:First>
          </b:Person>
        </b:NameList>
      </b:Author>
    </b:Author>
    <b:RefOrder>12</b:RefOrder>
  </b:Source>
  <b:Source>
    <b:Tag>Nor15</b:Tag>
    <b:SourceType>JournalArticle</b:SourceType>
    <b:Guid>{B1C324BB-AEEE-4EE0-9A85-EA5D30141DFF}</b:Guid>
    <b:Author>
      <b:Author>
        <b:NameList>
          <b:Person>
            <b:Last>Norvadewi</b:Last>
          </b:Person>
        </b:NameList>
      </b:Author>
    </b:Author>
    <b:Title>Bisnis dalam Perspektif Islam</b:Title>
    <b:JournalName>Ekonomi dan Bisnis Islam</b:JournalName>
    <b:Year>2015</b:Year>
    <b:Pages>33-46</b:Pages>
    <b:RefOrder>13</b:RefOrder>
  </b:Source>
  <b:Source>
    <b:Tag>Mar10</b:Tag>
    <b:SourceType>JournalArticle</b:SourceType>
    <b:Guid>{94663D4F-F6FF-4C0E-8479-EE1EBC944CFF}</b:Guid>
    <b:Title>Manajemen Laba dalam Tinjauan Etika Bisnis Islam</b:Title>
    <b:JournalName>Dinamika Ekonomi &amp; Bisnis</b:JournalName>
    <b:Year>2010</b:Year>
    <b:Pages>1-22</b:Pages>
    <b:Author>
      <b:Author>
        <b:NameList>
          <b:Person>
            <b:Last>Marzuqi</b:Last>
            <b:Middle>Yusuf</b:Middle>
            <b:First>Ahmad</b:First>
          </b:Person>
          <b:Person>
            <b:Last>Latif</b:Last>
            <b:Middle>Badarudin</b:Middle>
            <b:First>Achmad</b:First>
          </b:Person>
        </b:NameList>
      </b:Author>
    </b:Author>
    <b:RefOrder>14</b:RefOrder>
  </b:Source>
  <b:Source>
    <b:Tag>Sad15</b:Tag>
    <b:SourceType>Book</b:SourceType>
    <b:Guid>{80A749ED-5F0C-436E-8BC9-8D3B28221AAF}</b:Guid>
    <b:Title>Persaingan Bisnis Pedagang Pasar Genofo Mranggen Demak dalam Tinjauan Etika Bisnis Islam</b:Title>
    <b:Year>2015</b:Year>
    <b:Author>
      <b:Author>
        <b:NameList>
          <b:Person>
            <b:Last>Sa'datul</b:Last>
            <b:First>Novita</b:First>
          </b:Person>
        </b:NameList>
      </b:Author>
    </b:Author>
    <b:Publisher>Universitas Negeri Semarang</b:Publisher>
    <b:City>Semarang</b:City>
    <b:RefOrder>15</b:RefOrder>
  </b:Source>
  <b:Source>
    <b:Tag>Sai11</b:Tag>
    <b:SourceType>JournalArticle</b:SourceType>
    <b:Guid>{167AA1C9-4E3B-4FF8-82F1-4D14731EAC4C}</b:Guid>
    <b:Title>Etika Bisnis Islam dalam Praktek Bisnis Rasulullah</b:Title>
    <b:Year>2011</b:Year>
    <b:Author>
      <b:Author>
        <b:NameList>
          <b:Person>
            <b:Last>Saifullah</b:Last>
            <b:First>Muhammad</b:First>
          </b:Person>
        </b:NameList>
      </b:Author>
    </b:Author>
    <b:JournalName>Walisongo</b:JournalName>
    <b:Pages>127-156</b:Pages>
    <b:RefOrder>16</b:RefOrder>
  </b:Source>
  <b:Source>
    <b:Tag>Hul17</b:Tag>
    <b:SourceType>JournalArticle</b:SourceType>
    <b:Guid>{8AF5E7F4-1D57-4741-87E6-25BD572B3B92}</b:Guid>
    <b:Title>Etika Bisnis Islam dan Dampaknya Terhadap Kesejahteraan Pedagang Sapi</b:Title>
    <b:JournalName>Ekonomi dan Bisnis Islam</b:JournalName>
    <b:Year>2017</b:Year>
    <b:Pages>18-32</b:Pages>
    <b:Author>
      <b:Author>
        <b:NameList>
          <b:Person>
            <b:Last>Hulaimi</b:Last>
            <b:First>Ahmad</b:First>
          </b:Person>
        </b:NameList>
      </b:Author>
    </b:Author>
    <b:RefOrder>17</b:RefOrder>
  </b:Source>
  <b:Source>
    <b:Tag>Mar04</b:Tag>
    <b:SourceType>Book</b:SourceType>
    <b:Guid>{8F15CB3F-92A8-4460-965C-066B4C654AA0}</b:Guid>
    <b:Author>
      <b:Author>
        <b:NameList>
          <b:Person>
            <b:Last>Marthon</b:Last>
            <b:Middle>Saad</b:Middle>
            <b:First>Said</b:First>
          </b:Person>
        </b:NameList>
      </b:Author>
    </b:Author>
    <b:Title>Ekonomi Islam di Tengah Krisis Ekonomi Global</b:Title>
    <b:JournalName>Zikrul Hakim</b:JournalName>
    <b:Year>2004</b:Year>
    <b:City>Jakarta </b:City>
    <b:Publisher>Zikrul Hakim</b:Publisher>
    <b:RefOrder>18</b:RefOrder>
  </b:Source>
  <b:Source>
    <b:Tag>Rah12</b:Tag>
    <b:SourceType>JournalArticle</b:SourceType>
    <b:Guid>{2FB3E2A4-C335-4A3F-A2C5-54FC8E409049}</b:Guid>
    <b:Author>
      <b:Author>
        <b:NameList>
          <b:Person>
            <b:Last>Rahayu</b:Last>
            <b:Middle>Danar</b:Middle>
            <b:First>Deny</b:First>
          </b:Person>
        </b:NameList>
      </b:Author>
    </b:Author>
    <b:Title>Pengaruh Iklan dengan Epic Model Pada Media Televisi Terhadap Sikap Penonton (stidi Kasus Pada Iklan Minuman Isotonik Fatigon Hidro Versi "Macet" di Kota Pekan Baru</b:Title>
    <b:Year>2012</b:Year>
    <b:JournalName>Sosial Ekonomi Pembangunan </b:JournalName>
    <b:Pages>290-230</b:Pages>
    <b:RefOrder>19</b:RefOrder>
  </b:Source>
  <b:Source>
    <b:Tag>Sir13</b:Tag>
    <b:SourceType>Book</b:SourceType>
    <b:Guid>{1C35B9C6-FF3C-47AC-9560-4DB6AFA810D9}</b:Guid>
    <b:Title>Metode Penelitian Kuantitatif dilengkapi dengan Perbandingan Perhitungan Manual dan SPSS</b:Title>
    <b:Year>2013</b:Year>
    <b:City>Jakarta</b:City>
    <b:Publisher>Kencana</b:Publisher>
    <b:Author>
      <b:Author>
        <b:NameList>
          <b:Person>
            <b:Last>Siregar</b:Last>
            <b:First>Syofian</b:First>
          </b:Person>
        </b:NameList>
      </b:Author>
    </b:Author>
    <b:RefOrder>20</b:RefOrder>
  </b:Source>
  <b:Source>
    <b:Tag>Sul15</b:Tag>
    <b:SourceType>Book</b:SourceType>
    <b:Guid>{5E41D3C5-BA9E-40F1-90F2-08EBAEF98070}</b:Guid>
    <b:Title>Pengaruh Pengetahuan Etika Bisnis Islam dan Religiusitas Terhadap Perilaku Pedagang Muslim (Studi Kasus Pada Pedagang Sembako di Pasar Karangkobar)</b:Title>
    <b:Year>2015</b:Year>
    <b:City>Semarang</b:City>
    <b:Publisher>Fakultas Ekonomi dan Bisnis Islam</b:Publisher>
    <b:Author>
      <b:Author>
        <b:NameList>
          <b:Person>
            <b:Last>Sulistiyani</b:Last>
            <b:First>Diah</b:First>
          </b:Person>
        </b:NameList>
      </b:Author>
    </b:Author>
    <b:RefOrder>21</b:RefOrder>
  </b:Source>
  <b:Source>
    <b:Tag>Dul19</b:Tag>
    <b:SourceType>Book</b:SourceType>
    <b:Guid>{BA511EB4-A64A-4324-8FCD-59736719D519}</b:Guid>
    <b:Title>Metode Penelitian Kuantitatif: Beberapa Konsep Dasar Untuk Penulisan Skripsi &amp; Analisis Data dengan SPSS</b:Title>
    <b:Year>2019</b:Year>
    <b:City>Yogyakarta</b:City>
    <b:Publisher>Deepublish</b:Publisher>
    <b:Author>
      <b:Author>
        <b:NameList>
          <b:Person>
            <b:Last>Duli</b:Last>
            <b:First>Nikolaus</b:First>
          </b:Person>
        </b:NameList>
      </b:Author>
    </b:Author>
    <b:RefOrder>22</b:RefOrder>
  </b:Source>
  <b:Source>
    <b:Tag>Ans</b:Tag>
    <b:SourceType>Book</b:SourceType>
    <b:Guid>{77F90540-42DD-426D-8A0E-F1B486C06ED3}</b:Guid>
    <b:Author>
      <b:Author>
        <b:NameList>
          <b:Person>
            <b:Last>Ansofino</b:Last>
            <b:First>dkk</b:First>
          </b:Person>
        </b:NameList>
      </b:Author>
    </b:Author>
    <b:Title>Buku Ajar Ekonometrika</b:Title>
    <b:Year>2016</b:Year>
    <b:City>Yogyakarta</b:City>
    <b:Publisher>Deepublish</b:Publisher>
    <b:RefOrder>23</b:RefOrder>
  </b:Source>
  <b:Source>
    <b:Tag>Riy20</b:Tag>
    <b:SourceType>Book</b:SourceType>
    <b:Guid>{04E3DC00-F269-426E-A88A-BB6DBB978F23}</b:Guid>
    <b:Title>Metode Riset Penelitian Kuantitatif: Penelitian Bidang Mnajemen, Teknik, Pendidikan dan Ekspermen</b:Title>
    <b:Year>2020</b:Year>
    <b:City>Yogyakarta</b:City>
    <b:Publisher>Deepublish</b:Publisher>
    <b:Author>
      <b:Author>
        <b:NameList>
          <b:Person>
            <b:Last>Riyanto</b:Last>
            <b:First>Slamet</b:First>
          </b:Person>
          <b:Person>
            <b:Last>Hatmawan</b:Last>
            <b:Middle>Andhita</b:Middle>
            <b:First>Aglis</b:First>
          </b:Person>
        </b:NameList>
      </b:Author>
    </b:Author>
    <b:RefOrder>24</b:RefOrder>
  </b:Source>
  <b:Source>
    <b:Tag>Dah18</b:Tag>
    <b:SourceType>Book</b:SourceType>
    <b:Guid>{382C0619-A23D-42B5-B8C2-57972793FE87}</b:Guid>
    <b:Title>Analisis Tingat Religiusitas Terhadap Etika Bisnis Pedagang Muslim Pasar Induk Lambaro Aceh Besar</b:Title>
    <b:Year>2018</b:Year>
    <b:City>Banda Aceh</b:City>
    <b:Publisher>Fakultas Ekonomi Bisnis Islam</b:Publisher>
    <b:Author>
      <b:Author>
        <b:NameList>
          <b:Person>
            <b:Last>Dahlina </b:Last>
            <b:First>Merry</b:First>
          </b:Person>
        </b:NameList>
      </b:Author>
    </b:Author>
    <b:RefOrder>25</b:RefOrder>
  </b:Source>
</b:Sources>
</file>

<file path=customXml/itemProps1.xml><?xml version="1.0" encoding="utf-8"?>
<ds:datastoreItem xmlns:ds="http://schemas.openxmlformats.org/officeDocument/2006/customXml" ds:itemID="{D359C34B-F90F-49EA-B365-24F152598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5262</Words>
  <Characters>30000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Arief Muda</cp:lastModifiedBy>
  <cp:revision>3</cp:revision>
  <cp:lastPrinted>2022-03-13T06:00:00Z</cp:lastPrinted>
  <dcterms:created xsi:type="dcterms:W3CDTF">2023-11-10T03:53:00Z</dcterms:created>
  <dcterms:modified xsi:type="dcterms:W3CDTF">2023-11-15T07:10:00Z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http://www.zotero.org/styles/chicago-author-date</vt:lpwstr>
  </property>
  <property fmtid="{D5CDD505-2E9C-101B-9397-08002B2CF9AE}" pid="4" name="Mendeley Unique User Id_1">
    <vt:lpwstr>e3c03e5e-e16e-3d3a-a7d6-73e4570ced29</vt:lpwstr>
  </property>
</Properties>
</file>